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75" w:rsidRDefault="00230B75" w:rsidP="00230B75">
      <w:pPr>
        <w:jc w:val="center"/>
        <w:rPr>
          <w:b/>
          <w:sz w:val="48"/>
          <w:szCs w:val="48"/>
          <w:u w:val="single"/>
          <w:lang w:val="es-ES"/>
        </w:rPr>
      </w:pPr>
      <w:r w:rsidRPr="00230B75">
        <w:rPr>
          <w:b/>
          <w:sz w:val="48"/>
          <w:szCs w:val="48"/>
          <w:u w:val="single"/>
          <w:lang w:val="es-ES"/>
        </w:rPr>
        <w:t>PORCENTAJES</w:t>
      </w:r>
    </w:p>
    <w:p w:rsidR="00230B75" w:rsidRDefault="00230B75" w:rsidP="00230B75">
      <w:pPr>
        <w:jc w:val="center"/>
        <w:rPr>
          <w:sz w:val="40"/>
          <w:szCs w:val="40"/>
        </w:rPr>
      </w:pPr>
    </w:p>
    <w:p w:rsidR="00230B75" w:rsidRPr="00230B75" w:rsidRDefault="00230B75" w:rsidP="00230B75">
      <w:pPr>
        <w:jc w:val="center"/>
        <w:rPr>
          <w:b/>
          <w:sz w:val="40"/>
          <w:szCs w:val="40"/>
        </w:rPr>
      </w:pPr>
      <w:r w:rsidRPr="00230B75">
        <w:rPr>
          <w:b/>
          <w:sz w:val="40"/>
          <w:szCs w:val="40"/>
        </w:rPr>
        <w:t>¿Qué es?</w:t>
      </w:r>
    </w:p>
    <w:p w:rsidR="00230B75" w:rsidRDefault="00230B75" w:rsidP="00230B75">
      <w:pPr>
        <w:jc w:val="both"/>
        <w:rPr>
          <w:sz w:val="40"/>
          <w:szCs w:val="40"/>
        </w:rPr>
      </w:pPr>
      <w:r w:rsidRPr="00230B75">
        <w:rPr>
          <w:sz w:val="40"/>
          <w:szCs w:val="40"/>
        </w:rPr>
        <w:t xml:space="preserve">Un </w:t>
      </w:r>
      <w:r w:rsidRPr="00230B75">
        <w:rPr>
          <w:bCs/>
          <w:sz w:val="40"/>
          <w:szCs w:val="40"/>
        </w:rPr>
        <w:t>porcentaje</w:t>
      </w:r>
      <w:r w:rsidRPr="00230B75">
        <w:rPr>
          <w:sz w:val="40"/>
          <w:szCs w:val="40"/>
        </w:rPr>
        <w:t xml:space="preserve"> es una medida matemática que expresa una relación de proporcionalidad tomando como referencia fija el número </w:t>
      </w:r>
      <w:r w:rsidRPr="00230B75">
        <w:rPr>
          <w:bCs/>
          <w:sz w:val="40"/>
          <w:szCs w:val="40"/>
        </w:rPr>
        <w:t>100</w:t>
      </w:r>
      <w:r w:rsidRPr="00230B75">
        <w:rPr>
          <w:sz w:val="40"/>
          <w:szCs w:val="40"/>
        </w:rPr>
        <w:t xml:space="preserve">, lo que permite cuantificar una parte respecto a un todo de forma estandarizada e independiente de las unidades originales. Técnicamente, se define como una razón cuyo denominador es siempre cien, representada mediante el símbolo </w:t>
      </w:r>
      <w:r w:rsidRPr="00230B75">
        <w:rPr>
          <w:bCs/>
          <w:sz w:val="40"/>
          <w:szCs w:val="40"/>
        </w:rPr>
        <w:t>%</w:t>
      </w:r>
      <w:r w:rsidRPr="00230B75">
        <w:rPr>
          <w:sz w:val="40"/>
          <w:szCs w:val="40"/>
        </w:rPr>
        <w:t xml:space="preserve">, y funciona como un coeficiente que indica cuántas unidades de una categoría existen por cada centenar de la unidad total. Esta herramienta numérica actúa como un puente entre las fracciones y los números decimales, facilitando la comparación entre conjuntos de diferentes tamaños al reducir sus valores a una escala común donde la totalidad absoluta siempre equivale al </w:t>
      </w:r>
      <w:r w:rsidRPr="00230B75">
        <w:rPr>
          <w:bCs/>
          <w:sz w:val="40"/>
          <w:szCs w:val="40"/>
        </w:rPr>
        <w:t>100%</w:t>
      </w:r>
      <w:r w:rsidRPr="00230B75">
        <w:rPr>
          <w:sz w:val="40"/>
          <w:szCs w:val="40"/>
        </w:rPr>
        <w:t>. En esencia, el porcentaje es un operador relacional que determina la magnitud relativa de una cifra dentro de un sistema cerrado, permitiendo analizar variaciones, participaciones o integraciones de elementos de manera precisa y universalmente comprensible.</w:t>
      </w:r>
    </w:p>
    <w:p w:rsidR="00230B75" w:rsidRDefault="00230B75" w:rsidP="00230B75">
      <w:pPr>
        <w:jc w:val="center"/>
        <w:rPr>
          <w:b/>
          <w:sz w:val="40"/>
          <w:szCs w:val="40"/>
        </w:rPr>
      </w:pPr>
      <w:r w:rsidRPr="00230B75">
        <w:rPr>
          <w:b/>
          <w:sz w:val="40"/>
          <w:szCs w:val="40"/>
        </w:rPr>
        <w:lastRenderedPageBreak/>
        <w:t>¿Para qué sirve?</w:t>
      </w:r>
    </w:p>
    <w:p w:rsidR="00230B75" w:rsidRDefault="00230B75" w:rsidP="00230B75">
      <w:pPr>
        <w:jc w:val="both"/>
        <w:rPr>
          <w:sz w:val="40"/>
          <w:szCs w:val="40"/>
        </w:rPr>
      </w:pPr>
      <w:r w:rsidRPr="00FC4DC0">
        <w:rPr>
          <w:sz w:val="40"/>
          <w:szCs w:val="40"/>
        </w:rPr>
        <w:t xml:space="preserve">El </w:t>
      </w:r>
      <w:r w:rsidRPr="00FC4DC0">
        <w:rPr>
          <w:bCs/>
          <w:sz w:val="40"/>
          <w:szCs w:val="40"/>
        </w:rPr>
        <w:t>porcentaje</w:t>
      </w:r>
      <w:r w:rsidRPr="00FC4DC0">
        <w:rPr>
          <w:sz w:val="40"/>
          <w:szCs w:val="40"/>
        </w:rPr>
        <w:t xml:space="preserve"> funciona como una herramienta de estandarización universal que permite cuantificar y comunicar la relación de una parte respecto a un todo, facilitando la interpretación de datos complejos al reducirlos a una escala común de </w:t>
      </w:r>
      <w:r w:rsidRPr="00FC4DC0">
        <w:rPr>
          <w:bCs/>
          <w:sz w:val="40"/>
          <w:szCs w:val="40"/>
        </w:rPr>
        <w:t>100 unidades</w:t>
      </w:r>
      <w:r w:rsidRPr="00FC4DC0">
        <w:rPr>
          <w:sz w:val="40"/>
          <w:szCs w:val="40"/>
        </w:rPr>
        <w:t>. Su utilidad principal radica en la capacidad de simplificar comparaciones entre conjuntos de diferentes tamaños, ya que, al convertir cualquier cifra a una base centesimal, se elimina la distorsión que generan los valores absolutos variables y se permite visualizar la magnitud relativa de una cantidad de manera inmediata. Esta métrica es esencial para determinar variaciones proporcionales, permitiendo identificar con precisión crecimientos, disminuciones, participaciones de mercado o niveles de eficiencia dentro de cualquier sistema cerrado.</w:t>
      </w:r>
    </w:p>
    <w:p w:rsidR="00FC4DC0" w:rsidRDefault="00FC4DC0" w:rsidP="00230B75">
      <w:pPr>
        <w:jc w:val="both"/>
        <w:rPr>
          <w:sz w:val="40"/>
          <w:szCs w:val="40"/>
        </w:rPr>
      </w:pPr>
    </w:p>
    <w:p w:rsidR="00FC4DC0" w:rsidRDefault="00FC4DC0" w:rsidP="00230B75">
      <w:pPr>
        <w:jc w:val="both"/>
        <w:rPr>
          <w:sz w:val="40"/>
          <w:szCs w:val="40"/>
        </w:rPr>
      </w:pPr>
    </w:p>
    <w:p w:rsidR="00FC4DC0" w:rsidRDefault="00FC4DC0" w:rsidP="00230B75">
      <w:pPr>
        <w:jc w:val="both"/>
        <w:rPr>
          <w:sz w:val="40"/>
          <w:szCs w:val="40"/>
        </w:rPr>
      </w:pPr>
    </w:p>
    <w:p w:rsidR="00FC4DC0" w:rsidRDefault="00FC4DC0" w:rsidP="00230B75">
      <w:pPr>
        <w:jc w:val="both"/>
        <w:rPr>
          <w:sz w:val="40"/>
          <w:szCs w:val="40"/>
        </w:rPr>
      </w:pPr>
    </w:p>
    <w:p w:rsidR="00FC4DC0" w:rsidRDefault="00FC4DC0" w:rsidP="00230B75">
      <w:pPr>
        <w:jc w:val="both"/>
        <w:rPr>
          <w:sz w:val="40"/>
          <w:szCs w:val="40"/>
        </w:rPr>
      </w:pPr>
    </w:p>
    <w:p w:rsidR="00FC4DC0" w:rsidRDefault="00FC4DC0" w:rsidP="00FC4DC0">
      <w:pPr>
        <w:jc w:val="center"/>
        <w:rPr>
          <w:b/>
          <w:sz w:val="40"/>
          <w:szCs w:val="40"/>
        </w:rPr>
      </w:pPr>
      <w:r w:rsidRPr="00FC4DC0">
        <w:rPr>
          <w:b/>
          <w:sz w:val="40"/>
          <w:szCs w:val="40"/>
        </w:rPr>
        <w:t>¿Qué importancia tiene?</w:t>
      </w:r>
    </w:p>
    <w:p w:rsidR="00FC4DC0" w:rsidRDefault="00FC4DC0" w:rsidP="00FC4DC0">
      <w:pPr>
        <w:jc w:val="both"/>
        <w:rPr>
          <w:sz w:val="40"/>
          <w:szCs w:val="40"/>
        </w:rPr>
      </w:pPr>
      <w:r w:rsidRPr="00FC4DC0">
        <w:rPr>
          <w:sz w:val="40"/>
          <w:szCs w:val="40"/>
        </w:rPr>
        <w:t xml:space="preserve">La importancia del </w:t>
      </w:r>
      <w:r w:rsidRPr="00FC4DC0">
        <w:rPr>
          <w:bCs/>
          <w:sz w:val="40"/>
          <w:szCs w:val="40"/>
        </w:rPr>
        <w:t>porcentaje</w:t>
      </w:r>
      <w:r w:rsidRPr="00FC4DC0">
        <w:rPr>
          <w:sz w:val="40"/>
          <w:szCs w:val="40"/>
        </w:rPr>
        <w:t xml:space="preserve"> radica en su capacidad para actuar como un </w:t>
      </w:r>
      <w:r w:rsidRPr="00FC4DC0">
        <w:rPr>
          <w:bCs/>
          <w:sz w:val="40"/>
          <w:szCs w:val="40"/>
        </w:rPr>
        <w:t>lenguaje universal de proporción</w:t>
      </w:r>
      <w:r w:rsidRPr="00FC4DC0">
        <w:rPr>
          <w:sz w:val="40"/>
          <w:szCs w:val="40"/>
        </w:rPr>
        <w:t xml:space="preserve">, permitiendo que cifras de distintas escalas sean comparables entre sí al reducirlas a una base común de </w:t>
      </w:r>
      <w:r w:rsidRPr="00FC4DC0">
        <w:rPr>
          <w:bCs/>
          <w:sz w:val="40"/>
          <w:szCs w:val="40"/>
        </w:rPr>
        <w:t>100</w:t>
      </w:r>
      <w:r w:rsidRPr="00FC4DC0">
        <w:rPr>
          <w:sz w:val="40"/>
          <w:szCs w:val="40"/>
        </w:rPr>
        <w:t>. Sin esta herramienta, sería sumamente complejo interpretar la relevancia de un dato aislado; el porcentaje dota a los números de un contexto relacional inmediato, transformando valores brutos en indicadores de participación, eficiencia o cambio. Su función técnica es eliminar la distorsión que producen los totales diferentes, permitiendo que el cerebro humano procese rápidamente qué tan significativa es una parte respecto a su conjunto original.</w:t>
      </w: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both"/>
        <w:rPr>
          <w:sz w:val="40"/>
          <w:szCs w:val="40"/>
        </w:rPr>
      </w:pPr>
    </w:p>
    <w:p w:rsidR="00FC4DC0" w:rsidRDefault="00FC4DC0" w:rsidP="00FC4DC0">
      <w:pPr>
        <w:jc w:val="center"/>
        <w:rPr>
          <w:b/>
          <w:sz w:val="40"/>
          <w:szCs w:val="40"/>
        </w:rPr>
      </w:pPr>
      <w:r w:rsidRPr="00FC4DC0">
        <w:rPr>
          <w:b/>
          <w:sz w:val="40"/>
          <w:szCs w:val="40"/>
        </w:rPr>
        <w:t>EJEMPLOS</w:t>
      </w:r>
    </w:p>
    <w:p w:rsidR="00FC4DC0" w:rsidRPr="004B3116" w:rsidRDefault="00FC4DC0" w:rsidP="00FC4DC0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Descuentos:</w:t>
      </w:r>
      <w:r w:rsidRPr="004B3116">
        <w:rPr>
          <w:rFonts w:asciiTheme="minorHAnsi" w:hAnsiTheme="minorHAnsi" w:cstheme="minorHAnsi"/>
          <w:sz w:val="40"/>
          <w:szCs w:val="40"/>
        </w:rPr>
        <w:t xml:space="preserve"> Un juego de </w:t>
      </w:r>
      <w:r w:rsidRPr="004B3116">
        <w:rPr>
          <w:rFonts w:asciiTheme="minorHAnsi" w:hAnsiTheme="minorHAnsi" w:cstheme="minorHAnsi"/>
          <w:bCs/>
          <w:sz w:val="40"/>
          <w:szCs w:val="40"/>
        </w:rPr>
        <w:t>$1,000</w:t>
      </w:r>
      <w:r w:rsidRPr="004B3116">
        <w:rPr>
          <w:rFonts w:asciiTheme="minorHAnsi" w:hAnsiTheme="minorHAnsi" w:cstheme="minorHAnsi"/>
          <w:sz w:val="40"/>
          <w:szCs w:val="40"/>
        </w:rPr>
        <w:t xml:space="preserve"> con </w:t>
      </w:r>
      <w:r w:rsidRPr="004B3116">
        <w:rPr>
          <w:rFonts w:asciiTheme="minorHAnsi" w:hAnsiTheme="minorHAnsi" w:cstheme="minorHAnsi"/>
          <w:bCs/>
          <w:sz w:val="40"/>
          <w:szCs w:val="40"/>
        </w:rPr>
        <w:t>20%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 rebaja te ahorra </w:t>
      </w:r>
      <w:r w:rsidRPr="004B3116">
        <w:rPr>
          <w:rFonts w:asciiTheme="minorHAnsi" w:hAnsiTheme="minorHAnsi" w:cstheme="minorHAnsi"/>
          <w:bCs/>
          <w:sz w:val="40"/>
          <w:szCs w:val="40"/>
        </w:rPr>
        <w:t>$200</w:t>
      </w:r>
      <w:r w:rsidRPr="004B3116">
        <w:rPr>
          <w:rFonts w:asciiTheme="minorHAnsi" w:hAnsiTheme="minorHAnsi" w:cstheme="minorHAnsi"/>
          <w:sz w:val="40"/>
          <w:szCs w:val="40"/>
        </w:rPr>
        <w:t>.</w:t>
      </w:r>
    </w:p>
    <w:p w:rsidR="00FC4DC0" w:rsidRPr="004B3116" w:rsidRDefault="00FC4DC0" w:rsidP="00FC4DC0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Batería:</w:t>
      </w:r>
      <w:r w:rsidRPr="004B3116">
        <w:rPr>
          <w:rFonts w:asciiTheme="minorHAnsi" w:hAnsiTheme="minorHAnsi" w:cstheme="minorHAnsi"/>
          <w:sz w:val="40"/>
          <w:szCs w:val="40"/>
        </w:rPr>
        <w:t xml:space="preserve"> El </w:t>
      </w:r>
      <w:r w:rsidRPr="004B3116">
        <w:rPr>
          <w:rFonts w:asciiTheme="minorHAnsi" w:hAnsiTheme="minorHAnsi" w:cstheme="minorHAnsi"/>
          <w:bCs/>
          <w:sz w:val="40"/>
          <w:szCs w:val="40"/>
        </w:rPr>
        <w:t>5%</w:t>
      </w:r>
      <w:r w:rsidRPr="004B3116">
        <w:rPr>
          <w:rFonts w:asciiTheme="minorHAnsi" w:hAnsiTheme="minorHAnsi" w:cstheme="minorHAnsi"/>
          <w:sz w:val="40"/>
          <w:szCs w:val="40"/>
        </w:rPr>
        <w:t xml:space="preserve"> en tu consola indica que solo queda una veinteava parte de energía.</w:t>
      </w:r>
    </w:p>
    <w:p w:rsidR="00FC4DC0" w:rsidRPr="004B3116" w:rsidRDefault="00FC4DC0" w:rsidP="00FC4DC0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Exámenes:</w:t>
      </w:r>
      <w:r w:rsidRPr="004B3116">
        <w:rPr>
          <w:rFonts w:asciiTheme="minorHAnsi" w:hAnsiTheme="minorHAnsi" w:cstheme="minorHAnsi"/>
          <w:sz w:val="40"/>
          <w:szCs w:val="40"/>
        </w:rPr>
        <w:t xml:space="preserve"> Acertar </w:t>
      </w:r>
      <w:r w:rsidRPr="004B3116">
        <w:rPr>
          <w:rFonts w:asciiTheme="minorHAnsi" w:hAnsiTheme="minorHAnsi" w:cstheme="minorHAnsi"/>
          <w:bCs/>
          <w:sz w:val="40"/>
          <w:szCs w:val="40"/>
        </w:rPr>
        <w:t>18 de 20</w:t>
      </w:r>
      <w:r w:rsidRPr="004B3116">
        <w:rPr>
          <w:rFonts w:asciiTheme="minorHAnsi" w:hAnsiTheme="minorHAnsi" w:cstheme="minorHAnsi"/>
          <w:sz w:val="40"/>
          <w:szCs w:val="40"/>
        </w:rPr>
        <w:t xml:space="preserve"> preguntas equivale a un </w:t>
      </w:r>
      <w:r w:rsidRPr="004B3116">
        <w:rPr>
          <w:rFonts w:asciiTheme="minorHAnsi" w:hAnsiTheme="minorHAnsi" w:cstheme="minorHAnsi"/>
          <w:bCs/>
          <w:sz w:val="40"/>
          <w:szCs w:val="40"/>
        </w:rPr>
        <w:t>90%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 calificación.</w:t>
      </w:r>
    </w:p>
    <w:p w:rsidR="00FC4DC0" w:rsidRPr="004B3116" w:rsidRDefault="00FC4DC0" w:rsidP="00FC4DC0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Impuestos:</w:t>
      </w:r>
      <w:r w:rsidRPr="004B3116">
        <w:rPr>
          <w:rFonts w:asciiTheme="minorHAnsi" w:hAnsiTheme="minorHAnsi" w:cstheme="minorHAnsi"/>
          <w:sz w:val="40"/>
          <w:szCs w:val="40"/>
        </w:rPr>
        <w:t xml:space="preserve"> El </w:t>
      </w:r>
      <w:r w:rsidRPr="004B3116">
        <w:rPr>
          <w:rFonts w:asciiTheme="minorHAnsi" w:hAnsiTheme="minorHAnsi" w:cstheme="minorHAnsi"/>
          <w:bCs/>
          <w:sz w:val="40"/>
          <w:szCs w:val="40"/>
        </w:rPr>
        <w:t>16%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 IVA suma </w:t>
      </w:r>
      <w:r w:rsidRPr="004B3116">
        <w:rPr>
          <w:rFonts w:asciiTheme="minorHAnsi" w:hAnsiTheme="minorHAnsi" w:cstheme="minorHAnsi"/>
          <w:bCs/>
          <w:sz w:val="40"/>
          <w:szCs w:val="40"/>
        </w:rPr>
        <w:t>$16</w:t>
      </w:r>
      <w:r w:rsidRPr="004B3116">
        <w:rPr>
          <w:rFonts w:asciiTheme="minorHAnsi" w:hAnsiTheme="minorHAnsi" w:cstheme="minorHAnsi"/>
          <w:sz w:val="40"/>
          <w:szCs w:val="40"/>
        </w:rPr>
        <w:t xml:space="preserve"> pesos por cada </w:t>
      </w:r>
      <w:r w:rsidRPr="004B3116">
        <w:rPr>
          <w:rFonts w:asciiTheme="minorHAnsi" w:hAnsiTheme="minorHAnsi" w:cstheme="minorHAnsi"/>
          <w:bCs/>
          <w:sz w:val="40"/>
          <w:szCs w:val="40"/>
        </w:rPr>
        <w:t>$100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 compra.</w:t>
      </w:r>
    </w:p>
    <w:p w:rsidR="00FC4DC0" w:rsidRPr="004B3116" w:rsidRDefault="00FC4DC0" w:rsidP="00FC4DC0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Probabilidad:</w:t>
      </w:r>
      <w:r w:rsidRPr="004B3116">
        <w:rPr>
          <w:rFonts w:asciiTheme="minorHAnsi" w:hAnsiTheme="minorHAnsi" w:cstheme="minorHAnsi"/>
          <w:sz w:val="40"/>
          <w:szCs w:val="40"/>
        </w:rPr>
        <w:t xml:space="preserve"> Un </w:t>
      </w:r>
      <w:r w:rsidRPr="004B3116">
        <w:rPr>
          <w:rFonts w:asciiTheme="minorHAnsi" w:hAnsiTheme="minorHAnsi" w:cstheme="minorHAnsi"/>
          <w:bCs/>
          <w:sz w:val="40"/>
          <w:szCs w:val="40"/>
        </w:rPr>
        <w:t>70%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 probabilidad de lluvia indica que el clima es muy propenso a las precipitaciones.</w:t>
      </w:r>
    </w:p>
    <w:p w:rsidR="004B3116" w:rsidRPr="004B3116" w:rsidRDefault="004B3116" w:rsidP="004B3116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Interés:</w:t>
      </w:r>
      <w:r w:rsidRPr="004B3116">
        <w:rPr>
          <w:rFonts w:asciiTheme="minorHAnsi" w:hAnsiTheme="minorHAnsi" w:cstheme="minorHAnsi"/>
          <w:sz w:val="40"/>
          <w:szCs w:val="40"/>
        </w:rPr>
        <w:t xml:space="preserve"> Un préstamo de </w:t>
      </w:r>
      <w:r w:rsidRPr="004B3116">
        <w:rPr>
          <w:rFonts w:asciiTheme="minorHAnsi" w:hAnsiTheme="minorHAnsi" w:cstheme="minorHAnsi"/>
          <w:bCs/>
          <w:sz w:val="40"/>
          <w:szCs w:val="40"/>
        </w:rPr>
        <w:t>$500</w:t>
      </w:r>
      <w:r w:rsidRPr="004B3116">
        <w:rPr>
          <w:rFonts w:asciiTheme="minorHAnsi" w:hAnsiTheme="minorHAnsi" w:cstheme="minorHAnsi"/>
          <w:sz w:val="40"/>
          <w:szCs w:val="40"/>
        </w:rPr>
        <w:t xml:space="preserve"> con </w:t>
      </w:r>
      <w:r w:rsidRPr="004B3116">
        <w:rPr>
          <w:rFonts w:asciiTheme="minorHAnsi" w:hAnsiTheme="minorHAnsi" w:cstheme="minorHAnsi"/>
          <w:bCs/>
          <w:sz w:val="40"/>
          <w:szCs w:val="40"/>
        </w:rPr>
        <w:t>10%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 interés te cobra </w:t>
      </w:r>
      <w:r w:rsidRPr="004B3116">
        <w:rPr>
          <w:rFonts w:asciiTheme="minorHAnsi" w:hAnsiTheme="minorHAnsi" w:cstheme="minorHAnsi"/>
          <w:bCs/>
          <w:sz w:val="40"/>
          <w:szCs w:val="40"/>
        </w:rPr>
        <w:t>$50</w:t>
      </w:r>
      <w:r w:rsidRPr="004B3116">
        <w:rPr>
          <w:rFonts w:asciiTheme="minorHAnsi" w:hAnsiTheme="minorHAnsi" w:cstheme="minorHAnsi"/>
          <w:sz w:val="40"/>
          <w:szCs w:val="40"/>
        </w:rPr>
        <w:t xml:space="preserve"> extra.</w:t>
      </w:r>
    </w:p>
    <w:p w:rsidR="004B3116" w:rsidRPr="004B3116" w:rsidRDefault="004B3116" w:rsidP="004B3116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Capacidad:</w:t>
      </w:r>
      <w:r w:rsidRPr="004B3116">
        <w:rPr>
          <w:rFonts w:asciiTheme="minorHAnsi" w:hAnsiTheme="minorHAnsi" w:cstheme="minorHAnsi"/>
          <w:sz w:val="40"/>
          <w:szCs w:val="40"/>
        </w:rPr>
        <w:t xml:space="preserve"> Un estadio al </w:t>
      </w:r>
      <w:r w:rsidRPr="004B3116">
        <w:rPr>
          <w:rFonts w:asciiTheme="minorHAnsi" w:hAnsiTheme="minorHAnsi" w:cstheme="minorHAnsi"/>
          <w:bCs/>
          <w:sz w:val="40"/>
          <w:szCs w:val="40"/>
        </w:rPr>
        <w:t>80%</w:t>
      </w:r>
      <w:r w:rsidRPr="004B3116">
        <w:rPr>
          <w:rFonts w:asciiTheme="minorHAnsi" w:hAnsiTheme="minorHAnsi" w:cstheme="minorHAnsi"/>
          <w:sz w:val="40"/>
          <w:szCs w:val="40"/>
        </w:rPr>
        <w:t xml:space="preserve"> indica que 8 de cada 10 asientos están ocupados.</w:t>
      </w:r>
    </w:p>
    <w:p w:rsidR="004B3116" w:rsidRPr="004B3116" w:rsidRDefault="004B3116" w:rsidP="004B3116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Composición:</w:t>
      </w:r>
      <w:r w:rsidRPr="004B3116">
        <w:rPr>
          <w:rFonts w:asciiTheme="minorHAnsi" w:hAnsiTheme="minorHAnsi" w:cstheme="minorHAnsi"/>
          <w:sz w:val="40"/>
          <w:szCs w:val="40"/>
        </w:rPr>
        <w:t xml:space="preserve"> Una barra de chocolate con </w:t>
      </w:r>
      <w:r w:rsidRPr="004B3116">
        <w:rPr>
          <w:rFonts w:asciiTheme="minorHAnsi" w:hAnsiTheme="minorHAnsi" w:cstheme="minorHAnsi"/>
          <w:bCs/>
          <w:sz w:val="40"/>
          <w:szCs w:val="40"/>
        </w:rPr>
        <w:t>70%</w:t>
      </w:r>
      <w:r w:rsidRPr="004B3116">
        <w:rPr>
          <w:rFonts w:asciiTheme="minorHAnsi" w:hAnsiTheme="minorHAnsi" w:cstheme="minorHAnsi"/>
          <w:sz w:val="40"/>
          <w:szCs w:val="40"/>
        </w:rPr>
        <w:t xml:space="preserve"> cacao es mayormente amarga.</w:t>
      </w:r>
    </w:p>
    <w:p w:rsidR="00195FC3" w:rsidRPr="00195FC3" w:rsidRDefault="004B3116" w:rsidP="00195FC3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4B3116">
        <w:rPr>
          <w:rFonts w:asciiTheme="minorHAnsi" w:hAnsiTheme="minorHAnsi" w:cstheme="minorHAnsi"/>
          <w:sz w:val="40"/>
          <w:szCs w:val="40"/>
        </w:rPr>
        <w:t xml:space="preserve">  </w:t>
      </w:r>
      <w:r w:rsidRPr="004B3116">
        <w:rPr>
          <w:rFonts w:asciiTheme="minorHAnsi" w:hAnsiTheme="minorHAnsi" w:cstheme="minorHAnsi"/>
          <w:bCs/>
          <w:sz w:val="40"/>
          <w:szCs w:val="40"/>
        </w:rPr>
        <w:t>Propina:</w:t>
      </w:r>
      <w:r w:rsidRPr="004B3116">
        <w:rPr>
          <w:rFonts w:asciiTheme="minorHAnsi" w:hAnsiTheme="minorHAnsi" w:cstheme="minorHAnsi"/>
          <w:sz w:val="40"/>
          <w:szCs w:val="40"/>
        </w:rPr>
        <w:t xml:space="preserve"> Dejar el </w:t>
      </w:r>
      <w:r w:rsidRPr="004B3116">
        <w:rPr>
          <w:rFonts w:asciiTheme="minorHAnsi" w:hAnsiTheme="minorHAnsi" w:cstheme="minorHAnsi"/>
          <w:bCs/>
          <w:sz w:val="40"/>
          <w:szCs w:val="40"/>
        </w:rPr>
        <w:t>15%</w:t>
      </w:r>
      <w:r w:rsidRPr="004B3116">
        <w:rPr>
          <w:rFonts w:asciiTheme="minorHAnsi" w:hAnsiTheme="minorHAnsi" w:cstheme="minorHAnsi"/>
          <w:sz w:val="40"/>
          <w:szCs w:val="40"/>
        </w:rPr>
        <w:t xml:space="preserve"> en una cuenta de </w:t>
      </w:r>
      <w:r w:rsidRPr="004B3116">
        <w:rPr>
          <w:rFonts w:asciiTheme="minorHAnsi" w:hAnsiTheme="minorHAnsi" w:cstheme="minorHAnsi"/>
          <w:bCs/>
          <w:sz w:val="40"/>
          <w:szCs w:val="40"/>
        </w:rPr>
        <w:t>$200</w:t>
      </w:r>
      <w:r w:rsidRPr="004B3116">
        <w:rPr>
          <w:rFonts w:asciiTheme="minorHAnsi" w:hAnsiTheme="minorHAnsi" w:cstheme="minorHAnsi"/>
          <w:sz w:val="40"/>
          <w:szCs w:val="40"/>
        </w:rPr>
        <w:t xml:space="preserve"> equivale a dar </w:t>
      </w:r>
      <w:r w:rsidRPr="004B3116">
        <w:rPr>
          <w:rFonts w:asciiTheme="minorHAnsi" w:hAnsiTheme="minorHAnsi" w:cstheme="minorHAnsi"/>
          <w:bCs/>
          <w:sz w:val="40"/>
          <w:szCs w:val="40"/>
        </w:rPr>
        <w:t>$30</w:t>
      </w:r>
      <w:r w:rsidRPr="004B3116">
        <w:rPr>
          <w:rFonts w:asciiTheme="minorHAnsi" w:hAnsiTheme="minorHAnsi" w:cstheme="minorHAnsi"/>
          <w:sz w:val="40"/>
          <w:szCs w:val="40"/>
        </w:rPr>
        <w:t>.</w:t>
      </w:r>
    </w:p>
    <w:p w:rsidR="00195FC3" w:rsidRDefault="00195FC3" w:rsidP="00FC4DC0">
      <w:pP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MX"/>
        </w:rPr>
        <w:drawing>
          <wp:inline distT="0" distB="0" distL="0" distR="0">
            <wp:extent cx="5486400" cy="6725653"/>
            <wp:effectExtent l="19050" t="19050" r="38100" b="1841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:rsidR="00D80F84" w:rsidRPr="00FC4DC0" w:rsidRDefault="00D80F84">
      <w:pPr>
        <w:jc w:val="both"/>
        <w:rPr>
          <w:b/>
          <w:sz w:val="40"/>
          <w:szCs w:val="40"/>
        </w:rPr>
      </w:pPr>
    </w:p>
    <w:sectPr w:rsidR="00D80F84" w:rsidRPr="00FC4D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55" w:rsidRDefault="00DC6455" w:rsidP="00D80F84">
      <w:pPr>
        <w:spacing w:after="0" w:line="240" w:lineRule="auto"/>
      </w:pPr>
      <w:r>
        <w:separator/>
      </w:r>
    </w:p>
  </w:endnote>
  <w:endnote w:type="continuationSeparator" w:id="0">
    <w:p w:rsidR="00DC6455" w:rsidRDefault="00DC6455" w:rsidP="00D8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55" w:rsidRDefault="00DC6455" w:rsidP="00D80F84">
      <w:pPr>
        <w:spacing w:after="0" w:line="240" w:lineRule="auto"/>
      </w:pPr>
      <w:r>
        <w:separator/>
      </w:r>
    </w:p>
  </w:footnote>
  <w:footnote w:type="continuationSeparator" w:id="0">
    <w:p w:rsidR="00DC6455" w:rsidRDefault="00DC6455" w:rsidP="00D80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75"/>
    <w:rsid w:val="000D6B87"/>
    <w:rsid w:val="00195FC3"/>
    <w:rsid w:val="00230B75"/>
    <w:rsid w:val="004B3116"/>
    <w:rsid w:val="008C54F7"/>
    <w:rsid w:val="00D80F84"/>
    <w:rsid w:val="00DC6455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9D42-7BEA-4A74-B477-B12485ED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30B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0B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0B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B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B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B7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80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F84"/>
  </w:style>
  <w:style w:type="paragraph" w:styleId="Piedepgina">
    <w:name w:val="footer"/>
    <w:basedOn w:val="Normal"/>
    <w:link w:val="PiedepginaCar"/>
    <w:uiPriority w:val="99"/>
    <w:unhideWhenUsed/>
    <w:rsid w:val="00D80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95117B-2F4C-4FE0-8261-3C4EC0107CBC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CF8B4111-134D-467E-B484-EE8EED3BBEB1}">
      <dgm:prSet phldrT="[Texto]"/>
      <dgm:spPr>
        <a:solidFill>
          <a:srgbClr val="92D050"/>
        </a:solidFill>
      </dgm:spPr>
      <dgm:t>
        <a:bodyPr/>
        <a:lstStyle/>
        <a:p>
          <a:r>
            <a:rPr lang="es-MX" b="1"/>
            <a:t>¿Qué es?</a:t>
          </a:r>
          <a:r>
            <a:rPr lang="es-MX"/>
            <a:t> Una fracción de </a:t>
          </a:r>
          <a:r>
            <a:rPr lang="es-MX" b="1"/>
            <a:t>100</a:t>
          </a:r>
          <a:r>
            <a:rPr lang="es-MX"/>
            <a:t> partes iguales que indica una proporción.</a:t>
          </a:r>
        </a:p>
      </dgm:t>
    </dgm:pt>
    <dgm:pt modelId="{61F2A5FC-D614-46EB-B062-126AE6A988B5}" type="parTrans" cxnId="{F247C14D-8D84-4A22-BB2A-834C098897DF}">
      <dgm:prSet/>
      <dgm:spPr/>
      <dgm:t>
        <a:bodyPr/>
        <a:lstStyle/>
        <a:p>
          <a:endParaRPr lang="es-MX"/>
        </a:p>
      </dgm:t>
    </dgm:pt>
    <dgm:pt modelId="{692D7173-40DF-4D78-A669-0FA79E218B14}" type="sibTrans" cxnId="{F247C14D-8D84-4A22-BB2A-834C098897DF}">
      <dgm:prSet/>
      <dgm:spPr/>
      <dgm:t>
        <a:bodyPr/>
        <a:lstStyle/>
        <a:p>
          <a:endParaRPr lang="es-MX"/>
        </a:p>
      </dgm:t>
    </dgm:pt>
    <dgm:pt modelId="{A3DA25E8-20F4-45A8-8A23-6305EB78D73C}">
      <dgm:prSet phldrT="[Texto]"/>
      <dgm:spPr>
        <a:solidFill>
          <a:srgbClr val="FFC000"/>
        </a:solidFill>
      </dgm:spPr>
      <dgm:t>
        <a:bodyPr/>
        <a:lstStyle/>
        <a:p>
          <a:r>
            <a:rPr lang="es-MX" b="0"/>
            <a:t>Importancia:Da un contexto  relacional a los numeros</a:t>
          </a:r>
        </a:p>
      </dgm:t>
    </dgm:pt>
    <dgm:pt modelId="{0A4A4066-A125-4902-8BD6-C89B14C52159}" type="sibTrans" cxnId="{006CC8E7-B6C7-4EDC-B5C8-AC90F6178071}">
      <dgm:prSet/>
      <dgm:spPr/>
      <dgm:t>
        <a:bodyPr/>
        <a:lstStyle/>
        <a:p>
          <a:endParaRPr lang="es-MX"/>
        </a:p>
      </dgm:t>
    </dgm:pt>
    <dgm:pt modelId="{15DC93BF-E77E-45F7-AE1A-6B6A090C25B2}" type="parTrans" cxnId="{006CC8E7-B6C7-4EDC-B5C8-AC90F6178071}">
      <dgm:prSet/>
      <dgm:spPr/>
      <dgm:t>
        <a:bodyPr/>
        <a:lstStyle/>
        <a:p>
          <a:endParaRPr lang="es-MX"/>
        </a:p>
      </dgm:t>
    </dgm:pt>
    <dgm:pt modelId="{18E10B52-C1A7-40EA-A94B-3861162FBCD8}">
      <dgm:prSet phldrT="[Texto]"/>
      <dgm:spPr>
        <a:solidFill>
          <a:srgbClr val="FF0000"/>
        </a:solidFill>
      </dgm:spPr>
      <dgm:t>
        <a:bodyPr/>
        <a:lstStyle/>
        <a:p>
          <a:r>
            <a:rPr lang="es-MX" b="1"/>
            <a:t>Ejemplos:Comercio:</a:t>
          </a:r>
          <a:r>
            <a:rPr lang="es-MX"/>
            <a:t> Descuento del </a:t>
          </a:r>
          <a:r>
            <a:rPr lang="es-MX" b="1"/>
            <a:t>20%</a:t>
          </a:r>
          <a:r>
            <a:rPr lang="es-MX"/>
            <a:t>.</a:t>
          </a:r>
          <a:r>
            <a:rPr lang="es-MX" b="1"/>
            <a:t>Tecnología:</a:t>
          </a:r>
          <a:r>
            <a:rPr lang="es-MX"/>
            <a:t> Batería al </a:t>
          </a:r>
          <a:r>
            <a:rPr lang="es-MX" b="1"/>
            <a:t>15%</a:t>
          </a:r>
          <a:r>
            <a:rPr lang="es-MX"/>
            <a:t>.</a:t>
          </a:r>
          <a:r>
            <a:rPr lang="es-MX" b="1"/>
            <a:t>Finanzas:</a:t>
          </a:r>
          <a:r>
            <a:rPr lang="es-MX"/>
            <a:t> Impuestos (</a:t>
          </a:r>
          <a:r>
            <a:rPr lang="es-MX" b="1"/>
            <a:t>16%</a:t>
          </a:r>
          <a:r>
            <a:rPr lang="es-MX"/>
            <a:t> IVA).</a:t>
          </a:r>
          <a:r>
            <a:rPr lang="es-MX" b="1"/>
            <a:t>Salud:</a:t>
          </a:r>
          <a:r>
            <a:rPr lang="es-MX"/>
            <a:t> Alcohol al </a:t>
          </a:r>
          <a:r>
            <a:rPr lang="es-MX" b="1"/>
            <a:t>70%</a:t>
          </a:r>
          <a:r>
            <a:rPr lang="es-MX"/>
            <a:t>.</a:t>
          </a:r>
        </a:p>
      </dgm:t>
    </dgm:pt>
    <dgm:pt modelId="{1E54ABD7-4270-41A0-ABE7-82D6D01DE4E1}" type="parTrans" cxnId="{23C6949D-24A3-44D8-8F68-499BD1E3F702}">
      <dgm:prSet/>
      <dgm:spPr/>
      <dgm:t>
        <a:bodyPr/>
        <a:lstStyle/>
        <a:p>
          <a:endParaRPr lang="es-MX"/>
        </a:p>
      </dgm:t>
    </dgm:pt>
    <dgm:pt modelId="{B6064A47-8161-433C-856A-FA8ADEA02BF6}" type="sibTrans" cxnId="{23C6949D-24A3-44D8-8F68-499BD1E3F702}">
      <dgm:prSet/>
      <dgm:spPr/>
      <dgm:t>
        <a:bodyPr/>
        <a:lstStyle/>
        <a:p>
          <a:endParaRPr lang="es-MX"/>
        </a:p>
      </dgm:t>
    </dgm:pt>
    <dgm:pt modelId="{806B5633-42A9-4E50-8BF1-8E3C81A5AE1F}">
      <dgm:prSet phldrT="[Texto]"/>
      <dgm:spPr>
        <a:solidFill>
          <a:srgbClr val="FFFF00"/>
        </a:solidFill>
      </dgm:spPr>
      <dgm:t>
        <a:bodyPr/>
        <a:lstStyle/>
        <a:p>
          <a:r>
            <a:rPr lang="es-MX"/>
            <a:t>Estandar universal para comparar datos de distintos tamaños</a:t>
          </a:r>
        </a:p>
      </dgm:t>
    </dgm:pt>
    <dgm:pt modelId="{359B5284-5899-45B1-80F8-6DBF2A70BE74}" type="parTrans" cxnId="{1936DC5E-55A3-4C33-A5C7-E8CE5D232A94}">
      <dgm:prSet/>
      <dgm:spPr/>
      <dgm:t>
        <a:bodyPr/>
        <a:lstStyle/>
        <a:p>
          <a:endParaRPr lang="es-MX"/>
        </a:p>
      </dgm:t>
    </dgm:pt>
    <dgm:pt modelId="{D1D5B684-4467-4142-B6FF-48E73B6392E8}" type="sibTrans" cxnId="{1936DC5E-55A3-4C33-A5C7-E8CE5D232A94}">
      <dgm:prSet/>
      <dgm:spPr/>
      <dgm:t>
        <a:bodyPr/>
        <a:lstStyle/>
        <a:p>
          <a:endParaRPr lang="es-MX"/>
        </a:p>
      </dgm:t>
    </dgm:pt>
    <dgm:pt modelId="{A9F70AF3-5582-448D-BA7C-A78D24719021}" type="pres">
      <dgm:prSet presAssocID="{3495117B-2F4C-4FE0-8261-3C4EC0107CBC}" presName="Name0" presStyleCnt="0">
        <dgm:presLayoutVars>
          <dgm:dir/>
          <dgm:animLvl val="lvl"/>
          <dgm:resizeHandles val="exact"/>
        </dgm:presLayoutVars>
      </dgm:prSet>
      <dgm:spPr/>
    </dgm:pt>
    <dgm:pt modelId="{19A63D23-E6DE-4ADC-AD1F-A1C5D7068325}" type="pres">
      <dgm:prSet presAssocID="{CF8B4111-134D-467E-B484-EE8EED3BBEB1}" presName="Name8" presStyleCnt="0"/>
      <dgm:spPr/>
    </dgm:pt>
    <dgm:pt modelId="{460EC064-E075-43A6-8A3E-C43A41511414}" type="pres">
      <dgm:prSet presAssocID="{CF8B4111-134D-467E-B484-EE8EED3BBEB1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BBB6CE8-48CA-4BE2-BF83-120C8903025A}" type="pres">
      <dgm:prSet presAssocID="{CF8B4111-134D-467E-B484-EE8EED3BBEB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4F6202E-9ED0-4A28-8B94-0D78AEF55E0E}" type="pres">
      <dgm:prSet presAssocID="{806B5633-42A9-4E50-8BF1-8E3C81A5AE1F}" presName="Name8" presStyleCnt="0"/>
      <dgm:spPr/>
    </dgm:pt>
    <dgm:pt modelId="{624BD876-2AF9-49E5-B7DF-4B6BEECBFAA6}" type="pres">
      <dgm:prSet presAssocID="{806B5633-42A9-4E50-8BF1-8E3C81A5AE1F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5465D82-EDE0-451D-A597-E5E73CD729F5}" type="pres">
      <dgm:prSet presAssocID="{806B5633-42A9-4E50-8BF1-8E3C81A5AE1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DA7DC53-5ED9-439E-B743-DF2896963CE5}" type="pres">
      <dgm:prSet presAssocID="{A3DA25E8-20F4-45A8-8A23-6305EB78D73C}" presName="Name8" presStyleCnt="0"/>
      <dgm:spPr/>
    </dgm:pt>
    <dgm:pt modelId="{D534A638-B6EA-4018-8696-A796A9155EA0}" type="pres">
      <dgm:prSet presAssocID="{A3DA25E8-20F4-45A8-8A23-6305EB78D73C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60774A2-A3F7-4259-BBA9-E0D41BA9B0E2}" type="pres">
      <dgm:prSet presAssocID="{A3DA25E8-20F4-45A8-8A23-6305EB78D73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B62B15B-9D9D-4D86-8B29-0C7F4A385E38}" type="pres">
      <dgm:prSet presAssocID="{18E10B52-C1A7-40EA-A94B-3861162FBCD8}" presName="Name8" presStyleCnt="0"/>
      <dgm:spPr/>
    </dgm:pt>
    <dgm:pt modelId="{22C0F24D-A396-4DC6-AAE6-90D984EF9430}" type="pres">
      <dgm:prSet presAssocID="{18E10B52-C1A7-40EA-A94B-3861162FBCD8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6B5A3A4-DCFF-4E62-82E4-DDE7D4599544}" type="pres">
      <dgm:prSet presAssocID="{18E10B52-C1A7-40EA-A94B-3861162FBCD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481F9DD1-CCA1-4D1E-B3E3-C0845BDEBFFD}" type="presOf" srcId="{A3DA25E8-20F4-45A8-8A23-6305EB78D73C}" destId="{160774A2-A3F7-4259-BBA9-E0D41BA9B0E2}" srcOrd="1" destOrd="0" presId="urn:microsoft.com/office/officeart/2005/8/layout/pyramid1"/>
    <dgm:cxn modelId="{D0FBB54F-EEC7-4A34-B8F8-773E26FA2332}" type="presOf" srcId="{806B5633-42A9-4E50-8BF1-8E3C81A5AE1F}" destId="{75465D82-EDE0-451D-A597-E5E73CD729F5}" srcOrd="1" destOrd="0" presId="urn:microsoft.com/office/officeart/2005/8/layout/pyramid1"/>
    <dgm:cxn modelId="{006CC8E7-B6C7-4EDC-B5C8-AC90F6178071}" srcId="{3495117B-2F4C-4FE0-8261-3C4EC0107CBC}" destId="{A3DA25E8-20F4-45A8-8A23-6305EB78D73C}" srcOrd="2" destOrd="0" parTransId="{15DC93BF-E77E-45F7-AE1A-6B6A090C25B2}" sibTransId="{0A4A4066-A125-4902-8BD6-C89B14C52159}"/>
    <dgm:cxn modelId="{1936DC5E-55A3-4C33-A5C7-E8CE5D232A94}" srcId="{3495117B-2F4C-4FE0-8261-3C4EC0107CBC}" destId="{806B5633-42A9-4E50-8BF1-8E3C81A5AE1F}" srcOrd="1" destOrd="0" parTransId="{359B5284-5899-45B1-80F8-6DBF2A70BE74}" sibTransId="{D1D5B684-4467-4142-B6FF-48E73B6392E8}"/>
    <dgm:cxn modelId="{46E8DF5D-7C0B-460D-AC22-F890E408B53E}" type="presOf" srcId="{A3DA25E8-20F4-45A8-8A23-6305EB78D73C}" destId="{D534A638-B6EA-4018-8696-A796A9155EA0}" srcOrd="0" destOrd="0" presId="urn:microsoft.com/office/officeart/2005/8/layout/pyramid1"/>
    <dgm:cxn modelId="{F247C14D-8D84-4A22-BB2A-834C098897DF}" srcId="{3495117B-2F4C-4FE0-8261-3C4EC0107CBC}" destId="{CF8B4111-134D-467E-B484-EE8EED3BBEB1}" srcOrd="0" destOrd="0" parTransId="{61F2A5FC-D614-46EB-B062-126AE6A988B5}" sibTransId="{692D7173-40DF-4D78-A669-0FA79E218B14}"/>
    <dgm:cxn modelId="{5E94FCFD-89B1-4042-A758-32D3A75DAFCC}" type="presOf" srcId="{806B5633-42A9-4E50-8BF1-8E3C81A5AE1F}" destId="{624BD876-2AF9-49E5-B7DF-4B6BEECBFAA6}" srcOrd="0" destOrd="0" presId="urn:microsoft.com/office/officeart/2005/8/layout/pyramid1"/>
    <dgm:cxn modelId="{817C40A8-F4D8-4E09-AC9B-2188FAF4DEC7}" type="presOf" srcId="{CF8B4111-134D-467E-B484-EE8EED3BBEB1}" destId="{EBBB6CE8-48CA-4BE2-BF83-120C8903025A}" srcOrd="1" destOrd="0" presId="urn:microsoft.com/office/officeart/2005/8/layout/pyramid1"/>
    <dgm:cxn modelId="{23C6949D-24A3-44D8-8F68-499BD1E3F702}" srcId="{3495117B-2F4C-4FE0-8261-3C4EC0107CBC}" destId="{18E10B52-C1A7-40EA-A94B-3861162FBCD8}" srcOrd="3" destOrd="0" parTransId="{1E54ABD7-4270-41A0-ABE7-82D6D01DE4E1}" sibTransId="{B6064A47-8161-433C-856A-FA8ADEA02BF6}"/>
    <dgm:cxn modelId="{AA56036E-79CF-419A-81FF-F739E940D5DB}" type="presOf" srcId="{CF8B4111-134D-467E-B484-EE8EED3BBEB1}" destId="{460EC064-E075-43A6-8A3E-C43A41511414}" srcOrd="0" destOrd="0" presId="urn:microsoft.com/office/officeart/2005/8/layout/pyramid1"/>
    <dgm:cxn modelId="{E8CE4E93-3A26-4087-B1F0-20CA5B1BC830}" type="presOf" srcId="{18E10B52-C1A7-40EA-A94B-3861162FBCD8}" destId="{22C0F24D-A396-4DC6-AAE6-90D984EF9430}" srcOrd="0" destOrd="0" presId="urn:microsoft.com/office/officeart/2005/8/layout/pyramid1"/>
    <dgm:cxn modelId="{533301EF-E95D-4BAD-93C3-92DE240DE9F6}" type="presOf" srcId="{3495117B-2F4C-4FE0-8261-3C4EC0107CBC}" destId="{A9F70AF3-5582-448D-BA7C-A78D24719021}" srcOrd="0" destOrd="0" presId="urn:microsoft.com/office/officeart/2005/8/layout/pyramid1"/>
    <dgm:cxn modelId="{0E8AAA41-45BA-4006-8BD6-3392D7FE7756}" type="presOf" srcId="{18E10B52-C1A7-40EA-A94B-3861162FBCD8}" destId="{06B5A3A4-DCFF-4E62-82E4-DDE7D4599544}" srcOrd="1" destOrd="0" presId="urn:microsoft.com/office/officeart/2005/8/layout/pyramid1"/>
    <dgm:cxn modelId="{4562DCF8-D040-4B25-B91D-44E7C5D19117}" type="presParOf" srcId="{A9F70AF3-5582-448D-BA7C-A78D24719021}" destId="{19A63D23-E6DE-4ADC-AD1F-A1C5D7068325}" srcOrd="0" destOrd="0" presId="urn:microsoft.com/office/officeart/2005/8/layout/pyramid1"/>
    <dgm:cxn modelId="{CBEF27E8-9ABC-4DA6-8D03-0B6563FF9A32}" type="presParOf" srcId="{19A63D23-E6DE-4ADC-AD1F-A1C5D7068325}" destId="{460EC064-E075-43A6-8A3E-C43A41511414}" srcOrd="0" destOrd="0" presId="urn:microsoft.com/office/officeart/2005/8/layout/pyramid1"/>
    <dgm:cxn modelId="{DADDE21B-8248-4802-826F-8CDE25EC3FAF}" type="presParOf" srcId="{19A63D23-E6DE-4ADC-AD1F-A1C5D7068325}" destId="{EBBB6CE8-48CA-4BE2-BF83-120C8903025A}" srcOrd="1" destOrd="0" presId="urn:microsoft.com/office/officeart/2005/8/layout/pyramid1"/>
    <dgm:cxn modelId="{634DAB84-D57E-4A5D-83F2-33DD75DD949E}" type="presParOf" srcId="{A9F70AF3-5582-448D-BA7C-A78D24719021}" destId="{D4F6202E-9ED0-4A28-8B94-0D78AEF55E0E}" srcOrd="1" destOrd="0" presId="urn:microsoft.com/office/officeart/2005/8/layout/pyramid1"/>
    <dgm:cxn modelId="{7FE184B8-4B7A-4E99-9DBF-4512FA288574}" type="presParOf" srcId="{D4F6202E-9ED0-4A28-8B94-0D78AEF55E0E}" destId="{624BD876-2AF9-49E5-B7DF-4B6BEECBFAA6}" srcOrd="0" destOrd="0" presId="urn:microsoft.com/office/officeart/2005/8/layout/pyramid1"/>
    <dgm:cxn modelId="{4B022FD0-F1EF-4EA3-9C98-233C92154D2E}" type="presParOf" srcId="{D4F6202E-9ED0-4A28-8B94-0D78AEF55E0E}" destId="{75465D82-EDE0-451D-A597-E5E73CD729F5}" srcOrd="1" destOrd="0" presId="urn:microsoft.com/office/officeart/2005/8/layout/pyramid1"/>
    <dgm:cxn modelId="{61F03F81-07B5-4FC6-8E15-990F370864EA}" type="presParOf" srcId="{A9F70AF3-5582-448D-BA7C-A78D24719021}" destId="{FDA7DC53-5ED9-439E-B743-DF2896963CE5}" srcOrd="2" destOrd="0" presId="urn:microsoft.com/office/officeart/2005/8/layout/pyramid1"/>
    <dgm:cxn modelId="{E72279A2-93BC-44D7-BDC5-E5AAD770FA98}" type="presParOf" srcId="{FDA7DC53-5ED9-439E-B743-DF2896963CE5}" destId="{D534A638-B6EA-4018-8696-A796A9155EA0}" srcOrd="0" destOrd="0" presId="urn:microsoft.com/office/officeart/2005/8/layout/pyramid1"/>
    <dgm:cxn modelId="{1DCB42E6-A53F-474D-8BE3-75B45C5B859D}" type="presParOf" srcId="{FDA7DC53-5ED9-439E-B743-DF2896963CE5}" destId="{160774A2-A3F7-4259-BBA9-E0D41BA9B0E2}" srcOrd="1" destOrd="0" presId="urn:microsoft.com/office/officeart/2005/8/layout/pyramid1"/>
    <dgm:cxn modelId="{8258DA62-FB94-40AC-8BA4-B88248D9ABC7}" type="presParOf" srcId="{A9F70AF3-5582-448D-BA7C-A78D24719021}" destId="{2B62B15B-9D9D-4D86-8B29-0C7F4A385E38}" srcOrd="3" destOrd="0" presId="urn:microsoft.com/office/officeart/2005/8/layout/pyramid1"/>
    <dgm:cxn modelId="{1A164C5E-6610-404C-BE3B-6EDE0A5178F8}" type="presParOf" srcId="{2B62B15B-9D9D-4D86-8B29-0C7F4A385E38}" destId="{22C0F24D-A396-4DC6-AAE6-90D984EF9430}" srcOrd="0" destOrd="0" presId="urn:microsoft.com/office/officeart/2005/8/layout/pyramid1"/>
    <dgm:cxn modelId="{1ACECCD0-FEF5-46B6-8ED5-8474349D7388}" type="presParOf" srcId="{2B62B15B-9D9D-4D86-8B29-0C7F4A385E38}" destId="{06B5A3A4-DCFF-4E62-82E4-DDE7D4599544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0EC064-E075-43A6-8A3E-C43A41511414}">
      <dsp:nvSpPr>
        <dsp:cNvPr id="0" name=""/>
        <dsp:cNvSpPr/>
      </dsp:nvSpPr>
      <dsp:spPr>
        <a:xfrm>
          <a:off x="2057400" y="0"/>
          <a:ext cx="1371600" cy="1681413"/>
        </a:xfrm>
        <a:prstGeom prst="trapezoid">
          <a:avLst>
            <a:gd name="adj" fmla="val 5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1" kern="1200"/>
            <a:t>¿Qué es?</a:t>
          </a:r>
          <a:r>
            <a:rPr lang="es-MX" sz="1800" kern="1200"/>
            <a:t> Una fracción de </a:t>
          </a:r>
          <a:r>
            <a:rPr lang="es-MX" sz="1800" b="1" kern="1200"/>
            <a:t>100</a:t>
          </a:r>
          <a:r>
            <a:rPr lang="es-MX" sz="1800" kern="1200"/>
            <a:t> partes iguales que indica una proporción.</a:t>
          </a:r>
        </a:p>
      </dsp:txBody>
      <dsp:txXfrm>
        <a:off x="2057400" y="0"/>
        <a:ext cx="1371600" cy="1681413"/>
      </dsp:txXfrm>
    </dsp:sp>
    <dsp:sp modelId="{624BD876-2AF9-49E5-B7DF-4B6BEECBFAA6}">
      <dsp:nvSpPr>
        <dsp:cNvPr id="0" name=""/>
        <dsp:cNvSpPr/>
      </dsp:nvSpPr>
      <dsp:spPr>
        <a:xfrm>
          <a:off x="1371600" y="1681413"/>
          <a:ext cx="2743200" cy="1681413"/>
        </a:xfrm>
        <a:prstGeom prst="trapezoid">
          <a:avLst>
            <a:gd name="adj" fmla="val 40787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/>
            <a:t>Estandar universal para comparar datos de distintos tamaños</a:t>
          </a:r>
        </a:p>
      </dsp:txBody>
      <dsp:txXfrm>
        <a:off x="1851660" y="1681413"/>
        <a:ext cx="1783080" cy="1681413"/>
      </dsp:txXfrm>
    </dsp:sp>
    <dsp:sp modelId="{D534A638-B6EA-4018-8696-A796A9155EA0}">
      <dsp:nvSpPr>
        <dsp:cNvPr id="0" name=""/>
        <dsp:cNvSpPr/>
      </dsp:nvSpPr>
      <dsp:spPr>
        <a:xfrm>
          <a:off x="685799" y="3362826"/>
          <a:ext cx="4114800" cy="1681413"/>
        </a:xfrm>
        <a:prstGeom prst="trapezoid">
          <a:avLst>
            <a:gd name="adj" fmla="val 40787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kern="1200"/>
            <a:t>Importancia:Da un contexto  relacional a los numeros</a:t>
          </a:r>
        </a:p>
      </dsp:txBody>
      <dsp:txXfrm>
        <a:off x="1405889" y="3362826"/>
        <a:ext cx="2674620" cy="1681413"/>
      </dsp:txXfrm>
    </dsp:sp>
    <dsp:sp modelId="{22C0F24D-A396-4DC6-AAE6-90D984EF9430}">
      <dsp:nvSpPr>
        <dsp:cNvPr id="0" name=""/>
        <dsp:cNvSpPr/>
      </dsp:nvSpPr>
      <dsp:spPr>
        <a:xfrm>
          <a:off x="0" y="5044239"/>
          <a:ext cx="5486400" cy="1681413"/>
        </a:xfrm>
        <a:prstGeom prst="trapezoid">
          <a:avLst>
            <a:gd name="adj" fmla="val 40787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1" kern="1200"/>
            <a:t>Ejemplos:Comercio:</a:t>
          </a:r>
          <a:r>
            <a:rPr lang="es-MX" sz="1800" kern="1200"/>
            <a:t> Descuento del </a:t>
          </a:r>
          <a:r>
            <a:rPr lang="es-MX" sz="1800" b="1" kern="1200"/>
            <a:t>20%</a:t>
          </a:r>
          <a:r>
            <a:rPr lang="es-MX" sz="1800" kern="1200"/>
            <a:t>.</a:t>
          </a:r>
          <a:r>
            <a:rPr lang="es-MX" sz="1800" b="1" kern="1200"/>
            <a:t>Tecnología:</a:t>
          </a:r>
          <a:r>
            <a:rPr lang="es-MX" sz="1800" kern="1200"/>
            <a:t> Batería al </a:t>
          </a:r>
          <a:r>
            <a:rPr lang="es-MX" sz="1800" b="1" kern="1200"/>
            <a:t>15%</a:t>
          </a:r>
          <a:r>
            <a:rPr lang="es-MX" sz="1800" kern="1200"/>
            <a:t>.</a:t>
          </a:r>
          <a:r>
            <a:rPr lang="es-MX" sz="1800" b="1" kern="1200"/>
            <a:t>Finanzas:</a:t>
          </a:r>
          <a:r>
            <a:rPr lang="es-MX" sz="1800" kern="1200"/>
            <a:t> Impuestos (</a:t>
          </a:r>
          <a:r>
            <a:rPr lang="es-MX" sz="1800" b="1" kern="1200"/>
            <a:t>16%</a:t>
          </a:r>
          <a:r>
            <a:rPr lang="es-MX" sz="1800" kern="1200"/>
            <a:t> IVA).</a:t>
          </a:r>
          <a:r>
            <a:rPr lang="es-MX" sz="1800" b="1" kern="1200"/>
            <a:t>Salud:</a:t>
          </a:r>
          <a:r>
            <a:rPr lang="es-MX" sz="1800" kern="1200"/>
            <a:t> Alcohol al </a:t>
          </a:r>
          <a:r>
            <a:rPr lang="es-MX" sz="1800" b="1" kern="1200"/>
            <a:t>70%</a:t>
          </a:r>
          <a:r>
            <a:rPr lang="es-MX" sz="1800" kern="1200"/>
            <a:t>.</a:t>
          </a:r>
        </a:p>
      </dsp:txBody>
      <dsp:txXfrm>
        <a:off x="960119" y="5044239"/>
        <a:ext cx="3566160" cy="16814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moreno</dc:creator>
  <cp:keywords/>
  <dc:description/>
  <cp:lastModifiedBy>jose luis moreno</cp:lastModifiedBy>
  <cp:revision>4</cp:revision>
  <cp:lastPrinted>2026-03-24T13:16:00Z</cp:lastPrinted>
  <dcterms:created xsi:type="dcterms:W3CDTF">2026-03-24T06:21:00Z</dcterms:created>
  <dcterms:modified xsi:type="dcterms:W3CDTF">2026-03-24T13:21:00Z</dcterms:modified>
</cp:coreProperties>
</file>