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DE LA ESCUELA: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INSTITUTO DE NEGOCIOS E INNOVACIÓN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GRADO: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TERCERO PREPARATORIA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MATERIA: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METODOLOGÍA DE LA INVESTIGACIÓN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DEL PROYECTO: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JUST FRESH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ESTUDIANTES: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CECILIA GABRIELA ESPINOSA ACUÑA 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ALEXA SALAZAR AGUIRRE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YAMILETH SANTOS CERVANTES 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DEL MAESTRO: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ARELY SOBERANES AHUMADA 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FECHA: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INTRODUCCIÓN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el pasar de los años la conducta alimentaria ha cambiado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consideradamente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cada vez es más usual que las personas opten por dietas más saludables, la industria alimentaria juega un papel muy importante en la elaboración, procesado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expendido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alimentos llamados “saludables”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zumos y néctares que encontramos actualmente en las estanterías del supermercado han atravesado todo un proceso a través de la historia antes de convertirse en los productos que conocemos. La historia de los jugos o néctares comerciales comienza a partir del siglo XX. El consumo de frutas o de jugos naturales, ha sido valorado de forma muy positiva, hasta llegar al punto de que muchas culturas las consideraban manjares de los dioses, capaces incluso de otorgar propiedades mágicas o divinas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valor nutricional de la fruta y la verdura está representado por un alto contenido acuoso y la presencia de hidratos de carbono (entre los que se incluye la fibra)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nutrientes predominantes en los diferentes grupos de alimentos, categorizados por colores: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Verde (clorofila): luteína y fibra junto con variedad de vitaminas (A, B, C, K) y minerales (calcio, fósforo, sodio, hierro). Puede tener actividad de quimioprevención del cáncer por sus actividades quelantes, antimutagénicas, anticlastogénicas y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antigenotóxicas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y sus propiedades antioxidantes y antiinflamatorias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Rojas: licopeno, carotenoides, flavonoides y antocianinas. Aportan capacidad antioxidante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Morado y azul: antocianina y resveratrol junto con vitaminas (A, B) y minerales (hierro, calcio, flúor, cobre, cromo, potasio, sodio). Disminuye el riesgo de enfermedades cardiovasculares, muerte y diabetes tipo 2, con un mejor mantenimiento del peso y neuroprotección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Amarillo y anaranjado: vitamina C, ácido fólico, luteína y betacaroteno. Aporta capacidad antioxidante, beneficios para la visión y la piel, contribuye al sistema inmune y en la prevención de enfermedades cardiovasculares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Blanco: flavonoides, fibra, vitaminas y minerales (potasio, zinc, selenio). Previene enfermedades cardiovasculares o cerebrovasculares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jengibre es fuente importante de minerales como el manganeso, hierro, magnesio, zinc, potasio, fósforo y calcio. Aporta también vitaminas como la vitamina C, B3, B6, B1, B2, B9 y vitamina E. es un alimento antibacteriano y antioxidante, ya que contiene fitoquímicos como flavonoides, taninos, el gingerol, shogaol y los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paradoles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compuestos que ayudan a retrasar el proceso de envejecimiento celular y a combatir los radicales libres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betabel es buena fuente de betacarotenos, antioxidantes y fibra, por lo que fortalece el sistema inmune, previene problemas de la vista y mejora la digestión, Los antioxidantes evitan la aparición de enfermedades cardiovasculares al bloquear los radicales libres que modifican el “colesterol malo”, con lo que contribuyen a reducir el riesgo cardiovascular y cerebrovascular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consumo de frutas es beneficioso para la salud. Es un alimento libre de colesterol, contiene antioxidantes naturales y posee de un 70 a un 95% de agua. Pero su mayor importancia es su aporte de vitaminas, minerales, enzimas y carbohidratos a la dieta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frutas y vegetales tienen bajo nivel energético pero alto valor nutritivo fisiológico. Están constituidas principalmente por fibras y almidón. Contienen cantidades apreciables de micronutrientes como hierro, calcio, fósforo, magnesio, sodio y cromo. También son ricas en fitoquímicos, las cuales ayudan a reducir las probabilidades de cáncer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 posible que los jugos de fruta se hayan consumido durante muchos años. Sin embargo, hasta el siglo XIX el único medio de conservación conocido y utilizado era la fermentación. La industria comercial de jugos se inició en 1869 con el embotellamiento de jugo de uva por la campaña Welch de Vineland, New Jersey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Sanclemente en 2012 dijo que la ingesta de fitoesteroles afecta al metabolismo global del colesterol dando lugar a menores niveles séricos.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Martinez-Navarrete en 2008 dijo que el consumo de frutas beneficia la salud debido a la presencia de fitoquímicos o sustancias bioactivas. Estos compuestos se relacionan con la prevención de diferentes tipos de cáncer, enfermedades cerebrovasculares y cardiovasculares, e incluso la enfermedad de Alzheimer.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Pascual en 2023 dijo que que los patrones alimentarios de base vegetal, bajos en ácidos grasos saturados, colesterol y sodio, con un alto contenido en fibra, potasio y ácidos grasos insaturados, son beneficiosos y reducen la expresión de los factores de riesgo cardiovascular. Las frutas y verduras son conocidas por tener alto contenido en fibra.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General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Crear un zumo de fruta accesible a la compra al público, el cual sea fabricado a base de frutas y verduras con el propósito de fomentar el consumo de frutas y verduras en la región de Guasave, Sinaloa; México.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Específicos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Recolectar estudios para obtener las propiedades de las frutas y verduras previamente seleccionadas.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Investigar un estudio para conocer qué frutas y verduras combinan de manera estética y nutricional.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Analizar el impacto positivo o negativo que tengan dichas frutas y verduras en la salud.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PLANTEAMIENTO DEL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el creciente interés en la salud y la nutrición debido a la alta demanda de consumo, es evidente que los refrescos y bebidas con exceso de azúcares han proliferado en el mercado. Esta situación plantea un desafío significativo, ya que el consumidor busca opciones más saludables y con mayor valor nutricional. En este contexto, surge la necesidad de investigar las propiedades de ciertas frutas, verduras y sus jugos, con el objetivo de comprender su valor nutricional y los beneficios que pueden aportar a la salud.</w:t>
      </w:r>
    </w:p>
    <w:p w:rsidR="00000000" w:rsidDel="00000000" w:rsidP="00000000" w:rsidRDefault="00000000" w:rsidRPr="00000000" w14:paraId="00000035">
      <w:pPr>
        <w:spacing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desconocimiento generalizado sobre las características específicas de estos alimentos y su impacto en el organismo dificulta la toma de decisiones informadas en cuanto a la alimentación. Por lo tanto, es crucial abordar esta falta de información mediante un estudio detallado que examine las propiedades nutricionales de las frutas y verduras seleccionadas, así como los posibles beneficios para la salud derivados de su consumo.</w:t>
      </w:r>
    </w:p>
    <w:p w:rsidR="00000000" w:rsidDel="00000000" w:rsidP="00000000" w:rsidRDefault="00000000" w:rsidRPr="00000000" w14:paraId="00000036">
      <w:pPr>
        <w:spacing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Además, en un entorno donde la transparencia y la honestidad en la información nutricional son esenciales para los consumidores, se hace evidente la importancia de investigar de manera rigurosa y objetiva las propiedades de estos alimentos. Esta investigación tiene como objetivo proporcionar datos veraces y confiables sobre el contenido nutricional de las frutas, verduras y jugos analizados, con el fin de ofrecer una base sólida para la toma de decisiones alimentarias tanto a nivel individual como a nivel de políticas públicas.</w:t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creciente preocupación por adoptar hábitos alimenticios más saludables y la prevalencia de bebidas azucaradas en el mercado plantean la necesidad de ofrecer alternativas nutritivas y beneficiosas para la salud. En este contexto, los zumos y néctares a base de frutas y verduras se presentan como opciones prometedoras para promover una alimentación equilibrada. Sin embargo, la falta de información detallada sobre sus propiedades nutricionales y beneficios para la salud constituye una barrera para la toma de decisiones informadas por parte de los consumidores. Por ello, esta investigación busca llenar ese vacío al proporcionar datos precisos y confiables sobre el valor nutricional de estos productos. El objetivo es orientar a los consumidores hacia opciones alimenticias más saludables y promover un estilo de vida que contribuya al bienestar general.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BIBLIOGRAFÍA</w:t>
      </w:r>
    </w:p>
    <w:p w:rsidR="00000000" w:rsidDel="00000000" w:rsidP="00000000" w:rsidRDefault="00000000" w:rsidRPr="00000000" w14:paraId="0000003B">
      <w:pPr>
        <w:ind w:left="720" w:hanging="360"/>
        <w:jc w:val="both"/>
        <w:rPr>
          <w:rFonts w:ascii="Arial" w:cs="Arial" w:eastAsia="Arial" w:hAnsi="Arial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.0000000000001" w:footer="720.0000000000001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Admin. (2022, 20 enero). Fruta y verdura: el valor de lo saludable - CODINAN. CODINAN.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https://codinan.org/fruta-y-verdura-el-valor-de-lo-saludable/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Editor. (2021, 26 febrero). El poder de. . . El jengibre - El Poder del Consumidor. El Poder del Consumidor.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https://elpoderdelconsumidor.org/2021/02/el-poder-de-el-jengibre/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Editor. (2019, 18 febrero). El poder de. . . El betabel - El Poder del Consumidor. El Poder del Consumidor.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https://elpoderdelconsumidor.org/2019/01/el-poder-de-el-betabel/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Kalt, W., Cassidy, A., Howard, L. R., Krikorian, R., Stull, A. J., Tremblay, F., &amp; Zamora-Ros, R. (2020). Recent Research on the Health Benefits of Blueberries and Their Anthocyanins.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Advances in Nutrition (Bethesda, Md.)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(2), 224–236.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https://doi.org/10.1093/ADVANCES/NMZ065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2.Libbys 2023, 5 junio Historia del zumo de frutas - LIBBYS. LIBBYS.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https://libbys.es/blog/habitos-saludables/historia-del-zumo-de-frutas/8939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1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Liu, R. H. (2013). Health-Promoting Components of Fruits and Vegetables in the Diet.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Advances in Nutrition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(3), 384S.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https://doi.org/10.3945/AN.112.003517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Manuel, C. M. J. (2022). Eficacia de los programas de prevención del suicidio en adolescentes basados en el contexto escolar. Revisión sistemática.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http://hdl.handle.net/11531/66332</w:t>
        </w:r>
      </w:hyperlink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12. Mani López, Emma. (s. f.).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http://catarina.udlap.mx/u_dl_a/tales/documentos/lia/mani_l_e/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4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 Martínez‐Navarrete, N., Del Mar Camacho, M., &amp; Lahuerta, J. J. (2008). Los compuestos bioactivos de las frutas y sus efectos en la salud. Actividad Dietética, 12(2), 64-68.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https://doi.org/10.1016/s1138-0322(08)75623-2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5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Milani, A., Basirnejad, M., Shahbazi, S., &amp; Bolhassani, A. (2017). Carotenoids: biochemistry, pharmacology and treatment.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British Journal of Pharmacology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(11), 1290. 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https://doi.org/10.1111/BPH.13625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Pascual, V., Palencia, J. L. D., Núñez-Cortés, J. M., &amp; Pérez-Martı́Nez, P. (2023). Recomendaciones nutricionales en la prevención y tratamiento de la dislipemia aterogénica. Grupo de Trabajo Dislipemia Aterogénica, Sociedad Española de Arteriosclerosis.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Clínica E Investigación En Arteriosclerosis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(3), 155-163. 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https://doi.org/10.1016/j.arteri.2022.09.002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10.Salgado F. (2011). El Jengibre(Zingiber </w:t>
      </w:r>
      <w:r w:rsidDel="00000000" w:rsidR="00000000" w:rsidRPr="00000000">
        <w:rPr>
          <w:rFonts w:ascii="Arial" w:cs="Arial" w:eastAsia="Arial" w:hAnsi="Arial"/>
          <w:rtl w:val="0"/>
        </w:rPr>
        <w:t xml:space="preserve">officinate</w:t>
      </w:r>
      <w:r w:rsidDel="00000000" w:rsidR="00000000" w:rsidRPr="00000000">
        <w:rPr>
          <w:rFonts w:ascii="Arial" w:cs="Arial" w:eastAsia="Arial" w:hAnsi="Arial"/>
          <w:rtl w:val="0"/>
        </w:rPr>
        <w:t xml:space="preserve">). Revista Internacional de Acupuntura. 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https://www.lavanguardia.com/comer/2018013/451313728569/naranjavalornutricional-propiedades-beneficios.html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13. Sanclemente, T., Marques-Lopes, I., Fajó-Pascual, M., &amp; Puzo, J. (2012). Beneficios dietéticos asociados a la ingesta habitual de dosis moderadas de fitoesteroles presentes de forma natural en los alimentos. Clínica E Investigación En Arteriosclerosis, 24(1), 21-29. 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https://doi.org/10.1016/j.arteri.2011.11.005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Solymosi, K., &amp; Mysliwa-Kurdziel, B. (2016). Chlorophylls and their derivatives used 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in food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 industry and medicine.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Mini-Reviews in Medicinal Chemistry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color w:val="141412"/>
          <w:highlight w:val="white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color w:val="141412"/>
          <w:highlight w:val="white"/>
          <w:rtl w:val="0"/>
        </w:rPr>
        <w:t xml:space="preserve">(13). </w:t>
      </w:r>
      <w:hyperlink r:id="rId23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https://doi.org/10.2174/1389557516666161004161411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11. Srivasta Aanchal et al., 2020, Recent advances in preparation and functional properties of smoothies as food: A review.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360" w:lineRule="auto"/>
      <w:jc w:val="both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>
        <w:rtl w:val="0"/>
      </w:rPr>
      <w:t xml:space="preserve">20 MARZO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1016/j.arteri.2022.09.002" TargetMode="External"/><Relationship Id="rId11" Type="http://schemas.openxmlformats.org/officeDocument/2006/relationships/hyperlink" Target="https://elpoderdelconsumidor.org/2021/02/el-poder-de-el-jengibre/" TargetMode="External"/><Relationship Id="rId22" Type="http://schemas.openxmlformats.org/officeDocument/2006/relationships/hyperlink" Target="https://doi.org/10.1016/j.arteri.2011.11.005" TargetMode="External"/><Relationship Id="rId10" Type="http://schemas.openxmlformats.org/officeDocument/2006/relationships/hyperlink" Target="https://codinan.org/fruta-y-verdura-el-valor-de-lo-saludable/" TargetMode="External"/><Relationship Id="rId21" Type="http://schemas.openxmlformats.org/officeDocument/2006/relationships/hyperlink" Target="https://www.lavanguardia.com/comer/2018013/451313728569/naranjavalornutricional-propiedades-beneficios.html" TargetMode="External"/><Relationship Id="rId13" Type="http://schemas.openxmlformats.org/officeDocument/2006/relationships/hyperlink" Target="https://doi.org/10.1093/ADVANCES/NMZ065" TargetMode="External"/><Relationship Id="rId12" Type="http://schemas.openxmlformats.org/officeDocument/2006/relationships/hyperlink" Target="https://elpoderdelconsumidor.org/2019/01/el-poder-de-el-betabel/" TargetMode="External"/><Relationship Id="rId23" Type="http://schemas.openxmlformats.org/officeDocument/2006/relationships/hyperlink" Target="https://doi.org/10.2174/138955751666616100416141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hyperlink" Target="https://doi.org/10.3945/AN.112.003517" TargetMode="External"/><Relationship Id="rId14" Type="http://schemas.openxmlformats.org/officeDocument/2006/relationships/hyperlink" Target="https://libbys.es/blog/habitos-saludables/historia-del-zumo-de-frutas/8939" TargetMode="External"/><Relationship Id="rId17" Type="http://schemas.openxmlformats.org/officeDocument/2006/relationships/hyperlink" Target="http://catarina.udlap.mx/u_dl_a/tales/documentos/lia/mani_l_e/" TargetMode="External"/><Relationship Id="rId16" Type="http://schemas.openxmlformats.org/officeDocument/2006/relationships/hyperlink" Target="http://hdl.handle.net/11531/66332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i.org/10.1111/BPH.13625" TargetMode="External"/><Relationship Id="rId6" Type="http://schemas.openxmlformats.org/officeDocument/2006/relationships/header" Target="header1.xml"/><Relationship Id="rId18" Type="http://schemas.openxmlformats.org/officeDocument/2006/relationships/hyperlink" Target="https://doi.org/10.1016/s1138-0322(08)75623-2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