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rPr>
      </w:pPr>
      <w:bookmarkStart w:id="0" w:name="_Toc2755"/>
      <w:r>
        <w:drawing>
          <wp:anchor distT="0" distB="0" distL="114300" distR="114300" simplePos="0" relativeHeight="251659264" behindDoc="1" locked="0" layoutInCell="1" allowOverlap="1">
            <wp:simplePos x="0" y="0"/>
            <wp:positionH relativeFrom="column">
              <wp:posOffset>866775</wp:posOffset>
            </wp:positionH>
            <wp:positionV relativeFrom="page">
              <wp:posOffset>673735</wp:posOffset>
            </wp:positionV>
            <wp:extent cx="3311525" cy="1790700"/>
            <wp:effectExtent l="0" t="0" r="10795"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5"/>
                    <a:stretch>
                      <a:fillRect/>
                    </a:stretch>
                  </pic:blipFill>
                  <pic:spPr>
                    <a:xfrm>
                      <a:off x="0" y="0"/>
                      <a:ext cx="3311525" cy="1790700"/>
                    </a:xfrm>
                    <a:prstGeom prst="rect">
                      <a:avLst/>
                    </a:prstGeom>
                    <a:noFill/>
                    <a:ln>
                      <a:noFill/>
                    </a:ln>
                  </pic:spPr>
                </pic:pic>
              </a:graphicData>
            </a:graphic>
          </wp:anchor>
        </w:drawing>
      </w:r>
    </w:p>
    <w:p>
      <w:pPr>
        <w:pStyle w:val="3"/>
        <w:bidi w:val="0"/>
        <w:jc w:val="center"/>
        <w:rPr>
          <w:rFonts w:hint="default"/>
        </w:rPr>
      </w:pPr>
    </w:p>
    <w:p>
      <w:pPr>
        <w:pStyle w:val="3"/>
        <w:bidi w:val="0"/>
        <w:jc w:val="center"/>
        <w:rPr>
          <w:rFonts w:hint="default"/>
        </w:rPr>
      </w:pPr>
    </w:p>
    <w:p>
      <w:pPr>
        <w:pStyle w:val="3"/>
        <w:bidi w:val="0"/>
        <w:jc w:val="center"/>
        <w:rPr>
          <w:rFonts w:hint="default"/>
        </w:rPr>
      </w:pPr>
      <w:r>
        <w:rPr>
          <w:rFonts w:hint="default"/>
        </w:rPr>
        <w:t>Reporte sobre las Afectaciones e Impactos al Medio Ambiente del Ácido Perfluorooctanoico (C8)</w:t>
      </w:r>
      <w:bookmarkEnd w:id="0"/>
    </w:p>
    <w:p>
      <w:pPr>
        <w:jc w:val="center"/>
        <w:rPr>
          <w:rFonts w:hint="default"/>
          <w:lang w:val="es-MX"/>
        </w:rPr>
      </w:pPr>
      <w:r>
        <w:rPr>
          <w:rFonts w:hint="default"/>
          <w:lang w:val="es-MX"/>
        </w:rPr>
        <w:t>ANGIE MADAHÍ LUNA GARCÍA</w:t>
      </w:r>
    </w:p>
    <w:p>
      <w:pPr>
        <w:jc w:val="center"/>
        <w:rPr>
          <w:rFonts w:hint="default"/>
          <w:lang w:val="es-MX"/>
        </w:rPr>
      </w:pPr>
    </w:p>
    <w:p>
      <w:pPr>
        <w:jc w:val="center"/>
        <w:rPr>
          <w:rFonts w:hint="default"/>
          <w:lang w:val="es-MX"/>
        </w:rPr>
      </w:pPr>
      <w:r>
        <w:rPr>
          <w:rFonts w:hint="default"/>
          <w:lang w:val="es-MX"/>
        </w:rPr>
        <w:t>ECOLOGÍA</w:t>
      </w:r>
    </w:p>
    <w:p>
      <w:pPr>
        <w:jc w:val="center"/>
        <w:rPr>
          <w:rFonts w:hint="default"/>
          <w:lang w:val="es-MX"/>
        </w:rPr>
      </w:pPr>
      <w:r>
        <w:rPr>
          <w:rFonts w:hint="default"/>
          <w:lang w:val="es-MX"/>
        </w:rPr>
        <w:t>PROFESORA MARÍA ROMINA FLOR</w:t>
      </w:r>
      <w:bookmarkStart w:id="15" w:name="_GoBack"/>
      <w:bookmarkEnd w:id="15"/>
      <w:r>
        <w:rPr>
          <w:rFonts w:hint="default"/>
          <w:lang w:val="es-MX"/>
        </w:rPr>
        <w:t>ES PEÑA</w:t>
      </w:r>
    </w:p>
    <w:p>
      <w:pPr>
        <w:jc w:val="center"/>
        <w:rPr>
          <w:rFonts w:hint="default"/>
          <w:lang w:val="es-MX"/>
        </w:rPr>
      </w:pPr>
      <w:r>
        <w:rPr>
          <w:rFonts w:hint="default"/>
          <w:lang w:val="es-MX"/>
        </w:rPr>
        <w:t>24 DE OCTUBRE DE 2023</w:t>
      </w:r>
    </w:p>
    <w:p>
      <w:pPr>
        <w:rPr>
          <w:rFonts w:hint="default"/>
        </w:rPr>
      </w:pPr>
    </w:p>
    <w:p>
      <w:pPr>
        <w:pStyle w:val="4"/>
        <w:bidi w:val="0"/>
        <w:rPr>
          <w:rFonts w:hint="default"/>
          <w:lang w:val="es-MX"/>
        </w:rPr>
      </w:pPr>
      <w:r>
        <w:rPr>
          <w:rFonts w:hint="default"/>
          <w:lang w:val="es-MX"/>
        </w:rPr>
        <w:t>ÍNDICE</w:t>
      </w:r>
    </w:p>
    <w:p>
      <w:pPr>
        <w:pStyle w:val="9"/>
        <w:tabs>
          <w:tab w:val="right" w:leader="dot" w:pos="8306"/>
        </w:tabs>
      </w:pPr>
      <w:r>
        <w:rPr>
          <w:rFonts w:hint="default"/>
        </w:rPr>
        <w:fldChar w:fldCharType="begin"/>
      </w:r>
      <w:r>
        <w:rPr>
          <w:rFonts w:hint="default"/>
        </w:rPr>
        <w:instrText xml:space="preserve">TOC \o "1-9" \h \u </w:instrText>
      </w:r>
      <w:r>
        <w:rPr>
          <w:rFonts w:hint="default"/>
        </w:rPr>
        <w:fldChar w:fldCharType="separate"/>
      </w:r>
      <w:r>
        <w:rPr>
          <w:rFonts w:hint="default"/>
        </w:rPr>
        <w:fldChar w:fldCharType="begin"/>
      </w:r>
      <w:r>
        <w:rPr>
          <w:rFonts w:hint="default"/>
        </w:rPr>
        <w:instrText xml:space="preserve"> HYPERLINK \l _Toc2755 </w:instrText>
      </w:r>
      <w:r>
        <w:rPr>
          <w:rFonts w:hint="default"/>
        </w:rPr>
        <w:fldChar w:fldCharType="separate"/>
      </w:r>
      <w:r>
        <w:rPr>
          <w:rFonts w:hint="default"/>
        </w:rPr>
        <w:t>Reporte sobre las Afectaciones e Impactos al Medio Ambiente del Ácido Perfluorooctanoico (C8)</w:t>
      </w:r>
      <w:r>
        <w:tab/>
      </w:r>
      <w:r>
        <w:fldChar w:fldCharType="begin"/>
      </w:r>
      <w:r>
        <w:instrText xml:space="preserve"> PAGEREF _Toc2755 \h </w:instrText>
      </w:r>
      <w:r>
        <w:fldChar w:fldCharType="separate"/>
      </w:r>
      <w:r>
        <w:t>1</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_Toc31870 </w:instrText>
      </w:r>
      <w:r>
        <w:rPr>
          <w:rFonts w:hint="default"/>
        </w:rPr>
        <w:fldChar w:fldCharType="separate"/>
      </w:r>
      <w:r>
        <w:rPr>
          <w:rFonts w:hint="default"/>
        </w:rPr>
        <w:t>Introducción</w:t>
      </w:r>
      <w:r>
        <w:tab/>
      </w:r>
      <w:r>
        <w:fldChar w:fldCharType="begin"/>
      </w:r>
      <w:r>
        <w:instrText xml:space="preserve"> PAGEREF _Toc31870 \h </w:instrText>
      </w:r>
      <w:r>
        <w:fldChar w:fldCharType="separate"/>
      </w:r>
      <w:r>
        <w:t>1</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_Toc3949 </w:instrText>
      </w:r>
      <w:r>
        <w:rPr>
          <w:rFonts w:hint="default"/>
        </w:rPr>
        <w:fldChar w:fldCharType="separate"/>
      </w:r>
      <w:r>
        <w:rPr>
          <w:rFonts w:hint="default"/>
        </w:rPr>
        <w:t>Antecedentes</w:t>
      </w:r>
      <w:r>
        <w:tab/>
      </w:r>
      <w:r>
        <w:fldChar w:fldCharType="begin"/>
      </w:r>
      <w:r>
        <w:instrText xml:space="preserve"> PAGEREF _Toc3949 \h </w:instrText>
      </w:r>
      <w:r>
        <w:fldChar w:fldCharType="separate"/>
      </w:r>
      <w:r>
        <w:t>1</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_Toc22449 </w:instrText>
      </w:r>
      <w:r>
        <w:rPr>
          <w:rFonts w:hint="default"/>
        </w:rPr>
        <w:fldChar w:fldCharType="separate"/>
      </w:r>
      <w:r>
        <w:rPr>
          <w:rFonts w:hint="default"/>
        </w:rPr>
        <w:t>Objetivo</w:t>
      </w:r>
      <w:r>
        <w:tab/>
      </w:r>
      <w:r>
        <w:fldChar w:fldCharType="begin"/>
      </w:r>
      <w:r>
        <w:instrText xml:space="preserve"> PAGEREF _Toc22449 \h </w:instrText>
      </w:r>
      <w:r>
        <w:fldChar w:fldCharType="separate"/>
      </w:r>
      <w:r>
        <w:t>1</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_Toc3936 </w:instrText>
      </w:r>
      <w:r>
        <w:rPr>
          <w:rFonts w:hint="default"/>
        </w:rPr>
        <w:fldChar w:fldCharType="separate"/>
      </w:r>
      <w:r>
        <w:rPr>
          <w:rFonts w:hint="default"/>
          <w:i/>
          <w:iCs/>
        </w:rPr>
        <w:t>Impacto Ambiental</w:t>
      </w:r>
      <w:r>
        <w:tab/>
      </w:r>
      <w:r>
        <w:fldChar w:fldCharType="begin"/>
      </w:r>
      <w:r>
        <w:instrText xml:space="preserve"> PAGEREF _Toc3936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_Toc15310 </w:instrText>
      </w:r>
      <w:r>
        <w:rPr>
          <w:rFonts w:hint="default"/>
        </w:rPr>
        <w:fldChar w:fldCharType="separate"/>
      </w:r>
      <w:r>
        <w:rPr>
          <w:rFonts w:hint="default"/>
        </w:rPr>
        <w:t>Contaminación del Agua</w:t>
      </w:r>
      <w:r>
        <w:tab/>
      </w:r>
      <w:r>
        <w:fldChar w:fldCharType="begin"/>
      </w:r>
      <w:r>
        <w:instrText xml:space="preserve"> PAGEREF _Toc15310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_Toc27971 </w:instrText>
      </w:r>
      <w:r>
        <w:rPr>
          <w:rFonts w:hint="default"/>
        </w:rPr>
        <w:fldChar w:fldCharType="separate"/>
      </w:r>
      <w:r>
        <w:rPr>
          <w:rFonts w:hint="default"/>
        </w:rPr>
        <w:t>Contaminación del Suelo</w:t>
      </w:r>
      <w:r>
        <w:tab/>
      </w:r>
      <w:r>
        <w:fldChar w:fldCharType="begin"/>
      </w:r>
      <w:r>
        <w:instrText xml:space="preserve"> PAGEREF _Toc27971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_Toc24852 </w:instrText>
      </w:r>
      <w:r>
        <w:rPr>
          <w:rFonts w:hint="default"/>
        </w:rPr>
        <w:fldChar w:fldCharType="separate"/>
      </w:r>
      <w:r>
        <w:rPr>
          <w:rFonts w:hint="default"/>
        </w:rPr>
        <w:t>Contaminantes Ambientales</w:t>
      </w:r>
      <w:r>
        <w:tab/>
      </w:r>
      <w:r>
        <w:fldChar w:fldCharType="begin"/>
      </w:r>
      <w:r>
        <w:instrText xml:space="preserve"> PAGEREF _Toc24852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_Toc10179 </w:instrText>
      </w:r>
      <w:r>
        <w:rPr>
          <w:rFonts w:hint="default"/>
        </w:rPr>
        <w:fldChar w:fldCharType="separate"/>
      </w:r>
      <w:r>
        <w:rPr>
          <w:rFonts w:hint="default"/>
        </w:rPr>
        <w:t>Contaminantes Tóxicos para el Ser Vivo</w:t>
      </w:r>
      <w:r>
        <w:tab/>
      </w:r>
      <w:r>
        <w:fldChar w:fldCharType="begin"/>
      </w:r>
      <w:r>
        <w:instrText xml:space="preserve"> PAGEREF _Toc10179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_Toc32060 </w:instrText>
      </w:r>
      <w:r>
        <w:rPr>
          <w:rFonts w:hint="default"/>
        </w:rPr>
        <w:fldChar w:fldCharType="separate"/>
      </w:r>
      <w:r>
        <w:rPr>
          <w:rFonts w:hint="default"/>
        </w:rPr>
        <w:t>Efectos en la Fauna Acuática</w:t>
      </w:r>
      <w:r>
        <w:tab/>
      </w:r>
      <w:r>
        <w:fldChar w:fldCharType="begin"/>
      </w:r>
      <w:r>
        <w:instrText xml:space="preserve"> PAGEREF _Toc32060 \h </w:instrText>
      </w:r>
      <w:r>
        <w:fldChar w:fldCharType="separate"/>
      </w:r>
      <w:r>
        <w:t>2</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_Toc4207 </w:instrText>
      </w:r>
      <w:r>
        <w:rPr>
          <w:rFonts w:hint="default"/>
        </w:rPr>
        <w:fldChar w:fldCharType="separate"/>
      </w:r>
      <w:r>
        <w:rPr>
          <w:rFonts w:hint="default"/>
        </w:rPr>
        <w:t>Bioacumulación en la Cadena Alimentaria</w:t>
      </w:r>
      <w:r>
        <w:tab/>
      </w:r>
      <w:r>
        <w:fldChar w:fldCharType="begin"/>
      </w:r>
      <w:r>
        <w:instrText xml:space="preserve"> PAGEREF _Toc4207 \h </w:instrText>
      </w:r>
      <w:r>
        <w:fldChar w:fldCharType="separate"/>
      </w:r>
      <w:r>
        <w:t>3</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_Toc11119 </w:instrText>
      </w:r>
      <w:r>
        <w:rPr>
          <w:rFonts w:hint="default"/>
        </w:rPr>
        <w:fldChar w:fldCharType="separate"/>
      </w:r>
      <w:r>
        <w:rPr>
          <w:rFonts w:hint="default"/>
        </w:rPr>
        <w:t>Impacto en la Salud Humana</w:t>
      </w:r>
      <w:r>
        <w:tab/>
      </w:r>
      <w:r>
        <w:fldChar w:fldCharType="begin"/>
      </w:r>
      <w:r>
        <w:instrText xml:space="preserve"> PAGEREF _Toc11119 \h </w:instrText>
      </w:r>
      <w:r>
        <w:fldChar w:fldCharType="separate"/>
      </w:r>
      <w:r>
        <w:t>3</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_Toc28246 </w:instrText>
      </w:r>
      <w:r>
        <w:rPr>
          <w:rFonts w:hint="default"/>
        </w:rPr>
        <w:fldChar w:fldCharType="separate"/>
      </w:r>
      <w:r>
        <w:rPr>
          <w:rFonts w:hint="default"/>
        </w:rPr>
        <w:t>Conclusión</w:t>
      </w:r>
      <w:r>
        <w:tab/>
      </w:r>
      <w:r>
        <w:fldChar w:fldCharType="begin"/>
      </w:r>
      <w:r>
        <w:instrText xml:space="preserve"> PAGEREF _Toc28246 \h </w:instrText>
      </w:r>
      <w:r>
        <w:fldChar w:fldCharType="separate"/>
      </w:r>
      <w:r>
        <w:t>3</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_Toc29917 </w:instrText>
      </w:r>
      <w:r>
        <w:rPr>
          <w:rFonts w:hint="default"/>
        </w:rPr>
        <w:fldChar w:fldCharType="separate"/>
      </w:r>
      <w:r>
        <w:rPr>
          <w:rFonts w:hint="default"/>
        </w:rPr>
        <w:t>Bibliografía</w:t>
      </w:r>
      <w:r>
        <w:tab/>
      </w:r>
      <w:r>
        <w:fldChar w:fldCharType="begin"/>
      </w:r>
      <w:r>
        <w:instrText xml:space="preserve"> PAGEREF _Toc29917 \h </w:instrText>
      </w:r>
      <w:r>
        <w:fldChar w:fldCharType="separate"/>
      </w:r>
      <w:r>
        <w:t>3</w:t>
      </w:r>
      <w:r>
        <w:fldChar w:fldCharType="end"/>
      </w:r>
      <w:r>
        <w:rPr>
          <w:rFonts w:hint="default"/>
        </w:rPr>
        <w:fldChar w:fldCharType="end"/>
      </w:r>
    </w:p>
    <w:p>
      <w:pPr>
        <w:pStyle w:val="8"/>
        <w:tabs>
          <w:tab w:val="right" w:leader="dot" w:pos="8306"/>
        </w:tabs>
      </w:pPr>
      <w:r>
        <w:rPr>
          <w:rFonts w:hint="default"/>
        </w:rPr>
        <w:fldChar w:fldCharType="begin"/>
      </w:r>
      <w:r>
        <w:rPr>
          <w:rFonts w:hint="default"/>
        </w:rPr>
        <w:instrText xml:space="preserve"> HYPERLINK \l _Toc4799 </w:instrText>
      </w:r>
      <w:r>
        <w:rPr>
          <w:rFonts w:hint="default"/>
        </w:rPr>
        <w:fldChar w:fldCharType="separate"/>
      </w:r>
      <w:r>
        <w:rPr>
          <w:rFonts w:hint="default"/>
          <w:lang w:val="es-MX"/>
        </w:rPr>
        <w:t>RESULTADOS</w:t>
      </w:r>
      <w:r>
        <w:tab/>
      </w:r>
      <w:r>
        <w:fldChar w:fldCharType="begin"/>
      </w:r>
      <w:r>
        <w:instrText xml:space="preserve"> PAGEREF _Toc4799 \h </w:instrText>
      </w:r>
      <w:r>
        <w:fldChar w:fldCharType="separate"/>
      </w:r>
      <w:r>
        <w:t>4</w:t>
      </w:r>
      <w:r>
        <w:fldChar w:fldCharType="end"/>
      </w:r>
      <w:r>
        <w:rPr>
          <w:rFonts w:hint="default"/>
        </w:rPr>
        <w:fldChar w:fldCharType="end"/>
      </w:r>
    </w:p>
    <w:p>
      <w:pPr>
        <w:pStyle w:val="4"/>
        <w:bidi w:val="0"/>
        <w:rPr>
          <w:rFonts w:hint="default"/>
        </w:rPr>
      </w:pPr>
      <w:r>
        <w:rPr>
          <w:rFonts w:hint="default"/>
        </w:rPr>
        <w:fldChar w:fldCharType="end"/>
      </w:r>
    </w:p>
    <w:p>
      <w:pPr>
        <w:pStyle w:val="4"/>
        <w:bidi w:val="0"/>
        <w:rPr>
          <w:rFonts w:hint="default"/>
        </w:rPr>
      </w:pPr>
      <w:bookmarkStart w:id="1" w:name="_Toc31870"/>
      <w:r>
        <w:rPr>
          <w:rFonts w:hint="default"/>
        </w:rPr>
        <w:t>Introducción</w:t>
      </w:r>
      <w:bookmarkEnd w:id="1"/>
    </w:p>
    <w:p>
      <w:pPr>
        <w:rPr>
          <w:rFonts w:hint="default"/>
        </w:rPr>
      </w:pPr>
      <w:r>
        <w:rPr>
          <w:rFonts w:hint="default"/>
        </w:rPr>
        <w:t>El Ácido Perfluorooctanoico (C8), también conocido como PFOA por sus siglas en inglés (Perfluorooctanoic Acid), es un compuesto químico que ha sido objeto de creciente preocupación debido a sus efectos perjudiciales en el medio ambiente y la salud humana. Este informe se centra en los impactos ambientales y los contaminantes asociados con el C8, particularmente en la contaminación del agua y el suelo, así como los efectos tóxicos para los seres vivos.</w:t>
      </w:r>
    </w:p>
    <w:p>
      <w:pPr>
        <w:pStyle w:val="4"/>
        <w:bidi w:val="0"/>
        <w:rPr>
          <w:rFonts w:hint="default"/>
        </w:rPr>
      </w:pPr>
      <w:bookmarkStart w:id="2" w:name="_Toc3949"/>
    </w:p>
    <w:p>
      <w:pPr>
        <w:pStyle w:val="4"/>
        <w:bidi w:val="0"/>
        <w:rPr>
          <w:rFonts w:hint="default"/>
        </w:rPr>
      </w:pPr>
      <w:r>
        <w:rPr>
          <w:rFonts w:hint="default"/>
        </w:rPr>
        <w:t>Antecedentes</w:t>
      </w:r>
      <w:bookmarkEnd w:id="2"/>
    </w:p>
    <w:p>
      <w:pPr>
        <w:rPr>
          <w:rFonts w:hint="default"/>
        </w:rPr>
      </w:pPr>
      <w:r>
        <w:rPr>
          <w:rFonts w:hint="default"/>
        </w:rPr>
        <w:t>Los compuestos perfluorados, como el C8, han sido utilizados en una variedad de aplicaciones industriales y de consumo debido a su resistencia a la grasa y al agua. A lo largo de las décadas, su liberación en el medio ambiente ha resultado en una creciente preocupación por su persistencia y efectos perjudiciales en la vida silvestre y la salud humana. La conciencia de estos problemas ha llevado a un aumento en la investigación y la regulación de estos contaminantes.</w:t>
      </w:r>
    </w:p>
    <w:p>
      <w:pPr>
        <w:pStyle w:val="4"/>
        <w:bidi w:val="0"/>
        <w:rPr>
          <w:rFonts w:hint="default"/>
        </w:rPr>
      </w:pPr>
      <w:bookmarkStart w:id="3" w:name="_Toc22449"/>
      <w:r>
        <w:rPr>
          <w:rFonts w:hint="default"/>
        </w:rPr>
        <w:t>Objetivo</w:t>
      </w:r>
      <w:bookmarkEnd w:id="3"/>
    </w:p>
    <w:p>
      <w:pPr>
        <w:rPr>
          <w:rFonts w:hint="default"/>
        </w:rPr>
      </w:pPr>
      <w:r>
        <w:rPr>
          <w:rFonts w:hint="default"/>
        </w:rPr>
        <w:t>El objetivo de este informe es proporcionar una visión general de los impactos ambientales del C8, los contaminantes ambientales asociados, los efectos tóxicos para los seres vivos y la importancia de abordar estos problemas. Se busca concienciar sobre la necesidad de la gestión adecuada de este contaminante y promover la adopción de medidas para minimizar sus efectos negativos en el medio ambiente y la salud pública.</w:t>
      </w:r>
    </w:p>
    <w:p>
      <w:pPr>
        <w:rPr>
          <w:rFonts w:hint="default"/>
        </w:rPr>
      </w:pPr>
    </w:p>
    <w:p>
      <w:pPr>
        <w:pStyle w:val="4"/>
        <w:bidi w:val="0"/>
        <w:jc w:val="center"/>
        <w:rPr>
          <w:rFonts w:hint="default"/>
          <w:i/>
          <w:iCs/>
        </w:rPr>
      </w:pPr>
      <w:bookmarkStart w:id="4" w:name="_Toc3936"/>
      <w:r>
        <w:rPr>
          <w:rFonts w:hint="default"/>
          <w:i/>
          <w:iCs/>
        </w:rPr>
        <w:t>Impacto Ambiental</w:t>
      </w:r>
      <w:bookmarkEnd w:id="4"/>
    </w:p>
    <w:p>
      <w:pPr>
        <w:pStyle w:val="4"/>
        <w:bidi w:val="0"/>
        <w:rPr>
          <w:rFonts w:hint="default"/>
        </w:rPr>
      </w:pPr>
      <w:bookmarkStart w:id="5" w:name="_Toc15310"/>
      <w:r>
        <w:rPr>
          <w:rFonts w:hint="default"/>
        </w:rPr>
        <w:t>Contaminación del Agua</w:t>
      </w:r>
      <w:bookmarkEnd w:id="5"/>
    </w:p>
    <w:p>
      <w:pPr>
        <w:rPr>
          <w:rFonts w:hint="default"/>
        </w:rPr>
      </w:pPr>
      <w:r>
        <w:rPr>
          <w:rFonts w:hint="default"/>
        </w:rPr>
        <w:t>El C8 es conocido por su resistencia a la degradación biológica y química, lo que lo convierte en una sustancia persistente en el medio ambiente. Su liberación en cuerpos de agua a través de la fabricación y el uso de productos que contienen C8 ha llevado a la contaminación del agua en numerosas regiones. Este compuesto puede acumularse en ríos, lagos y acuíferos, afectando negativamente la calidad del agua y la vida acuática.</w:t>
      </w:r>
    </w:p>
    <w:p>
      <w:pPr>
        <w:rPr>
          <w:rFonts w:hint="default"/>
        </w:rPr>
      </w:pPr>
    </w:p>
    <w:p>
      <w:pPr>
        <w:pStyle w:val="4"/>
        <w:bidi w:val="0"/>
        <w:rPr>
          <w:rFonts w:hint="default"/>
        </w:rPr>
      </w:pPr>
    </w:p>
    <w:p>
      <w:pPr>
        <w:pStyle w:val="4"/>
        <w:bidi w:val="0"/>
        <w:rPr>
          <w:rFonts w:hint="default"/>
        </w:rPr>
      </w:pPr>
      <w:bookmarkStart w:id="6" w:name="_Toc27971"/>
      <w:r>
        <w:rPr>
          <w:rFonts w:hint="default"/>
        </w:rPr>
        <w:t>Contaminación del Suelo</w:t>
      </w:r>
      <w:bookmarkEnd w:id="6"/>
    </w:p>
    <w:p>
      <w:pPr>
        <w:rPr>
          <w:rFonts w:hint="default"/>
        </w:rPr>
      </w:pPr>
      <w:r>
        <w:rPr>
          <w:rFonts w:hint="default"/>
        </w:rPr>
        <w:t>La contaminación del suelo por C8 suele estar relacionada con la disposición inadecuada de productos químicos industriales que contienen este compuesto. La absorción en el suelo puede afectar el crecimiento de plantas y la calidad del suelo, lo que a su vez afecta la producción agrícola y la biodiversidad del ecosistema terrestre.</w:t>
      </w:r>
    </w:p>
    <w:p>
      <w:pPr>
        <w:rPr>
          <w:rFonts w:hint="default"/>
        </w:rPr>
      </w:pPr>
    </w:p>
    <w:p>
      <w:pPr>
        <w:pStyle w:val="4"/>
        <w:bidi w:val="0"/>
        <w:rPr>
          <w:rFonts w:hint="default"/>
        </w:rPr>
      </w:pPr>
      <w:bookmarkStart w:id="7" w:name="_Toc24852"/>
      <w:r>
        <w:rPr>
          <w:rFonts w:hint="default"/>
        </w:rPr>
        <w:t>Contaminantes Ambientales</w:t>
      </w:r>
      <w:bookmarkEnd w:id="7"/>
    </w:p>
    <w:p>
      <w:pPr>
        <w:rPr>
          <w:rFonts w:hint="default"/>
        </w:rPr>
      </w:pPr>
      <w:r>
        <w:rPr>
          <w:rFonts w:hint="default"/>
        </w:rPr>
        <w:t>El C8 es un representante de los contaminantes ambientales conocidos como compuestos orgánicos perfluorados (PFOS, por sus siglas en inglés). Estos compuestos son ampliamente utilizados en la fabricación de productos de consumo, como recubrimientos resistentes al agua y al aceite, y son conocidos por su persistencia y bioacumulación en el medio ambiente.</w:t>
      </w:r>
    </w:p>
    <w:p>
      <w:pPr>
        <w:rPr>
          <w:rFonts w:hint="default"/>
        </w:rPr>
      </w:pPr>
    </w:p>
    <w:p>
      <w:pPr>
        <w:pStyle w:val="4"/>
        <w:bidi w:val="0"/>
        <w:rPr>
          <w:rFonts w:hint="default"/>
        </w:rPr>
      </w:pPr>
      <w:bookmarkStart w:id="8" w:name="_Toc10179"/>
      <w:r>
        <w:rPr>
          <w:rFonts w:hint="default"/>
        </w:rPr>
        <w:t>Contaminantes Tóxicos para el Ser Vivo</w:t>
      </w:r>
      <w:bookmarkEnd w:id="8"/>
    </w:p>
    <w:p>
      <w:pPr>
        <w:rPr>
          <w:rFonts w:hint="default"/>
        </w:rPr>
      </w:pPr>
      <w:r>
        <w:rPr>
          <w:rFonts w:hint="default"/>
        </w:rPr>
        <w:t>El C8 y otros compuestos perfluorados son preocupantes debido a su toxicidad y capacidad para acumularse en los tejidos de los seres vivos. Algunos de los efectos tóxicos más relevantes para los seres vivos incluyen:</w:t>
      </w:r>
    </w:p>
    <w:p>
      <w:pPr>
        <w:rPr>
          <w:rFonts w:hint="default"/>
        </w:rPr>
      </w:pPr>
    </w:p>
    <w:p>
      <w:pPr>
        <w:pStyle w:val="4"/>
        <w:bidi w:val="0"/>
        <w:rPr>
          <w:rFonts w:hint="default"/>
        </w:rPr>
      </w:pPr>
      <w:bookmarkStart w:id="9" w:name="_Toc32060"/>
      <w:r>
        <w:rPr>
          <w:rFonts w:hint="default"/>
        </w:rPr>
        <w:t>Efectos en la Fauna Acuática</w:t>
      </w:r>
      <w:bookmarkEnd w:id="9"/>
    </w:p>
    <w:p>
      <w:pPr>
        <w:rPr>
          <w:rFonts w:hint="default"/>
        </w:rPr>
      </w:pPr>
      <w:r>
        <w:rPr>
          <w:rFonts w:hint="default"/>
        </w:rPr>
        <w:t>La exposición al C8 en el agua puede causar daños en peces y otros organismos acuáticos. Esto incluye efectos como alteraciones en la reproducción, desarrollo anormal de embriones y efectos adversos en la salud de la vida acuática.</w:t>
      </w:r>
    </w:p>
    <w:p>
      <w:pPr>
        <w:rPr>
          <w:rFonts w:hint="default"/>
        </w:rPr>
      </w:pPr>
    </w:p>
    <w:p>
      <w:pPr>
        <w:pStyle w:val="4"/>
        <w:bidi w:val="0"/>
        <w:rPr>
          <w:rFonts w:hint="default"/>
        </w:rPr>
      </w:pPr>
      <w:bookmarkStart w:id="10" w:name="_Toc4207"/>
      <w:r>
        <w:rPr>
          <w:rFonts w:hint="default"/>
        </w:rPr>
        <w:t>Bioacumulación en la Cadena Alimentaria</w:t>
      </w:r>
      <w:bookmarkEnd w:id="10"/>
    </w:p>
    <w:p>
      <w:pPr>
        <w:rPr>
          <w:rFonts w:hint="default"/>
        </w:rPr>
      </w:pPr>
      <w:r>
        <w:rPr>
          <w:rFonts w:hint="default"/>
        </w:rPr>
        <w:t>El C8 y compuestos similares pueden ingresar a la cadena alimentaria a través de la ingestión de agua y alimentos contaminados. Esto puede resultar en la acumulación progresiva de estos contaminantes en animales y, en última instancia, en los seres humanos que consumen productos contaminados.</w:t>
      </w:r>
    </w:p>
    <w:p>
      <w:pPr>
        <w:rPr>
          <w:rFonts w:hint="default"/>
        </w:rPr>
      </w:pPr>
    </w:p>
    <w:p>
      <w:pPr>
        <w:pStyle w:val="4"/>
        <w:bidi w:val="0"/>
        <w:rPr>
          <w:rFonts w:hint="default"/>
        </w:rPr>
      </w:pPr>
      <w:bookmarkStart w:id="11" w:name="_Toc11119"/>
      <w:r>
        <w:rPr>
          <w:rFonts w:hint="default"/>
        </w:rPr>
        <w:t>Impacto en la Salud Humana</w:t>
      </w:r>
      <w:bookmarkEnd w:id="11"/>
    </w:p>
    <w:p>
      <w:pPr>
        <w:rPr>
          <w:rFonts w:hint="default"/>
        </w:rPr>
      </w:pPr>
      <w:r>
        <w:rPr>
          <w:rFonts w:hint="default"/>
        </w:rPr>
        <w:t>Si bien este informe se centra en los impactos ambientales, es importante destacar que la exposición humana al C8 y otros compuestos perfluorados también plantea preocupaciones de salud significativas, como la asociación con enfermedades como el cáncer y problemas reproductivos.</w:t>
      </w:r>
    </w:p>
    <w:p>
      <w:pPr>
        <w:rPr>
          <w:rFonts w:hint="default"/>
        </w:rPr>
      </w:pPr>
    </w:p>
    <w:p>
      <w:pPr>
        <w:rPr>
          <w:rFonts w:hint="default"/>
        </w:rPr>
      </w:pPr>
    </w:p>
    <w:p>
      <w:pPr>
        <w:rPr>
          <w:rFonts w:hint="default"/>
        </w:rPr>
      </w:pPr>
    </w:p>
    <w:p>
      <w:pPr>
        <w:pStyle w:val="4"/>
        <w:bidi w:val="0"/>
        <w:rPr>
          <w:rFonts w:hint="default"/>
        </w:rPr>
      </w:pPr>
      <w:bookmarkStart w:id="12" w:name="_Toc28246"/>
      <w:r>
        <w:rPr>
          <w:rFonts w:hint="default"/>
        </w:rPr>
        <w:t>Conclusión</w:t>
      </w:r>
      <w:bookmarkEnd w:id="12"/>
    </w:p>
    <w:p>
      <w:pPr>
        <w:rPr>
          <w:rFonts w:hint="default"/>
        </w:rPr>
      </w:pPr>
      <w:r>
        <w:rPr>
          <w:rFonts w:hint="default"/>
        </w:rPr>
        <w:t>El Ácido Perfluorooctanoico (C8) representa un desafío significativo para el medio ambiente debido a su persistencia, capacidad de bioacumulación y efectos perjudiciales en la vida acuática y terrestre. La gestión adecuada de productos que contienen C8 y la regulación de su uso son esenciales para minimizar los impactos ambientales y proteger la salud de los ecosistemas y los seres humanos. La investigación y la conciencia pública son fundamentales para abordar este problema en curso.</w:t>
      </w:r>
    </w:p>
    <w:p>
      <w:pPr>
        <w:rPr>
          <w:rFonts w:hint="default"/>
        </w:rPr>
      </w:pPr>
    </w:p>
    <w:p>
      <w:pPr>
        <w:pStyle w:val="4"/>
        <w:bidi w:val="0"/>
        <w:rPr>
          <w:rFonts w:hint="default"/>
        </w:rPr>
      </w:pPr>
      <w:bookmarkStart w:id="13" w:name="_Toc29917"/>
      <w:r>
        <w:rPr>
          <w:rFonts w:hint="default"/>
        </w:rPr>
        <w:t>Bibliografía</w:t>
      </w:r>
      <w:bookmarkEnd w:id="13"/>
    </w:p>
    <w:p>
      <w:pPr>
        <w:numPr>
          <w:ilvl w:val="0"/>
          <w:numId w:val="1"/>
        </w:numPr>
        <w:ind w:left="425" w:leftChars="0" w:hanging="425" w:firstLineChars="0"/>
        <w:rPr>
          <w:rFonts w:hint="default"/>
        </w:rPr>
      </w:pPr>
      <w:r>
        <w:rPr>
          <w:rFonts w:hint="default"/>
        </w:rPr>
        <w:t>Buck, R. C., Franklin, J., Berger, U., Conder, J. M., Cousins, I. T., de Voogt, P., ... &amp; Redman, A. D. (2011). Perfluoroalkyl and polyfluoroalkyl substances in the environment: terminology, classification, and origins. Integrated Environmental Assessment and Management, 7(4), 513-541.</w:t>
      </w:r>
    </w:p>
    <w:p>
      <w:pPr>
        <w:rPr>
          <w:rFonts w:hint="default"/>
        </w:rPr>
      </w:pPr>
    </w:p>
    <w:p>
      <w:pPr>
        <w:numPr>
          <w:ilvl w:val="0"/>
          <w:numId w:val="1"/>
        </w:numPr>
        <w:ind w:left="425" w:leftChars="0" w:hanging="425" w:firstLineChars="0"/>
        <w:rPr>
          <w:rFonts w:hint="default"/>
        </w:rPr>
      </w:pPr>
      <w:r>
        <w:rPr>
          <w:rFonts w:hint="default"/>
        </w:rPr>
        <w:t>Giesy, J. P., &amp; Kannan, K. (2001). Global distribution of perfluorooctane sulfonate in wildlife. Environmental Science &amp; Technology, 35(7), 1339-1342.</w:t>
      </w:r>
    </w:p>
    <w:p>
      <w:pPr>
        <w:rPr>
          <w:rFonts w:hint="default"/>
        </w:rPr>
      </w:pPr>
    </w:p>
    <w:p>
      <w:pPr>
        <w:numPr>
          <w:ilvl w:val="0"/>
          <w:numId w:val="1"/>
        </w:numPr>
        <w:ind w:left="425" w:leftChars="0" w:hanging="425" w:firstLineChars="0"/>
        <w:rPr>
          <w:rFonts w:hint="default"/>
        </w:rPr>
      </w:pPr>
      <w:r>
        <w:rPr>
          <w:rFonts w:hint="default"/>
        </w:rPr>
        <w:t>Lau, C., Anitole, K., Hodes, C., Lai, D., Pfahles-Hutchens, A., &amp; Seed, J. (2007). Perfluoroalkyl acids: a review of monitoring and toxicological findings. Toxicological Sciences, 99(2), 366-394.</w:t>
      </w:r>
    </w:p>
    <w:p>
      <w:pPr>
        <w:rPr>
          <w:rFonts w:hint="default"/>
        </w:rPr>
      </w:pPr>
    </w:p>
    <w:p>
      <w:pPr>
        <w:numPr>
          <w:ilvl w:val="0"/>
          <w:numId w:val="1"/>
        </w:numPr>
        <w:ind w:left="425" w:leftChars="0" w:hanging="425" w:firstLineChars="0"/>
        <w:rPr>
          <w:rFonts w:hint="default"/>
        </w:rPr>
      </w:pPr>
      <w:r>
        <w:rPr>
          <w:rFonts w:hint="default"/>
        </w:rPr>
        <w:t>U.S. Environmental Protection Agency (EPA). (2019). Per- and Polyfluoroalkyl Substances (PFAS). [https://www.epa.gov/pfas].</w:t>
      </w:r>
    </w:p>
    <w:p>
      <w:pPr>
        <w:rPr>
          <w:rFonts w:hint="default"/>
        </w:rPr>
      </w:pPr>
    </w:p>
    <w:p>
      <w:pPr>
        <w:numPr>
          <w:ilvl w:val="0"/>
          <w:numId w:val="1"/>
        </w:numPr>
        <w:ind w:left="425" w:leftChars="0" w:hanging="425" w:firstLineChars="0"/>
        <w:rPr>
          <w:rFonts w:hint="default"/>
        </w:rPr>
      </w:pPr>
      <w:r>
        <w:rPr>
          <w:rFonts w:hint="default"/>
        </w:rPr>
        <w:t>European Chemicals Agency (ECHA). (2019). Perfluorooctanoic acid (PFOA). [https://echa.europa.eu/regulations/reach/understanding-chemicals/authorisation/pfoa].</w:t>
      </w:r>
    </w:p>
    <w:p>
      <w:pPr>
        <w:numPr>
          <w:numId w:val="0"/>
        </w:numPr>
        <w:rPr>
          <w:rFonts w:hint="default"/>
        </w:rPr>
      </w:pPr>
    </w:p>
    <w:p>
      <w:pPr>
        <w:pStyle w:val="4"/>
        <w:bidi w:val="0"/>
        <w:rPr>
          <w:rFonts w:hint="default"/>
          <w:lang w:val="es-MX"/>
        </w:rPr>
      </w:pPr>
      <w:bookmarkStart w:id="14" w:name="_Toc4799"/>
      <w:r>
        <w:rPr>
          <w:rFonts w:hint="default"/>
          <w:lang w:val="es-MX"/>
        </w:rPr>
        <w:t>RESULTADOS</w:t>
      </w:r>
      <w:bookmarkEnd w:id="14"/>
    </w:p>
    <w:p>
      <w:pPr>
        <w:numPr>
          <w:ilvl w:val="0"/>
          <w:numId w:val="2"/>
        </w:numPr>
        <w:rPr>
          <w:rFonts w:hint="default"/>
          <w:b/>
          <w:bCs/>
          <w:lang w:val="es-MX"/>
        </w:rPr>
      </w:pPr>
      <w:r>
        <w:rPr>
          <w:rFonts w:hint="default"/>
          <w:b/>
          <w:bCs/>
          <w:lang w:val="es-MX"/>
        </w:rPr>
        <w:t>- ¿Empresa que fabrico el teflón?</w:t>
      </w:r>
    </w:p>
    <w:p>
      <w:pPr>
        <w:bidi w:val="0"/>
        <w:jc w:val="center"/>
        <w:rPr>
          <w:rFonts w:hint="default"/>
          <w:lang w:val="es-MX"/>
        </w:rPr>
      </w:pPr>
      <w:r>
        <w:rPr>
          <w:rFonts w:hint="default"/>
          <w:lang w:val="es-MX"/>
        </w:rPr>
        <w:t>DuPont</w:t>
      </w:r>
    </w:p>
    <w:p>
      <w:pPr>
        <w:numPr>
          <w:ilvl w:val="0"/>
          <w:numId w:val="2"/>
        </w:numPr>
        <w:ind w:left="0" w:leftChars="0" w:firstLine="0" w:firstLineChars="0"/>
        <w:rPr>
          <w:rFonts w:hint="default"/>
          <w:b/>
          <w:bCs/>
          <w:lang w:val="es-MX"/>
        </w:rPr>
      </w:pPr>
      <w:r>
        <w:rPr>
          <w:rFonts w:hint="default"/>
          <w:b/>
          <w:bCs/>
          <w:lang w:val="es-MX"/>
        </w:rPr>
        <w:t>- ¿Dónde se ubicaba su vertedero para residuos químicos?</w:t>
      </w:r>
    </w:p>
    <w:p>
      <w:pPr>
        <w:bidi w:val="0"/>
        <w:jc w:val="center"/>
        <w:rPr>
          <w:rFonts w:hint="default"/>
          <w:lang w:val="es-MX"/>
        </w:rPr>
      </w:pPr>
      <w:r>
        <w:rPr>
          <w:rFonts w:hint="default"/>
          <w:lang w:val="es-MX"/>
        </w:rPr>
        <w:t>Parkersburg, West Virginia.</w:t>
      </w:r>
    </w:p>
    <w:p>
      <w:pPr>
        <w:numPr>
          <w:ilvl w:val="0"/>
          <w:numId w:val="2"/>
        </w:numPr>
        <w:ind w:left="0" w:leftChars="0" w:firstLine="0" w:firstLineChars="0"/>
        <w:rPr>
          <w:rFonts w:hint="default"/>
          <w:b/>
          <w:bCs/>
          <w:lang w:val="es-MX"/>
        </w:rPr>
      </w:pPr>
      <w:r>
        <w:rPr>
          <w:rFonts w:hint="default"/>
          <w:b/>
          <w:bCs/>
          <w:lang w:val="es-MX"/>
        </w:rPr>
        <w:t>- ¿ Qué consecuencias empezó a ver tanto el granjero como el abogado?</w:t>
      </w:r>
    </w:p>
    <w:p>
      <w:pPr>
        <w:bidi w:val="0"/>
        <w:jc w:val="left"/>
        <w:rPr>
          <w:rFonts w:hint="default"/>
          <w:lang w:val="es-MX"/>
        </w:rPr>
      </w:pPr>
      <w:r>
        <w:rPr>
          <w:rFonts w:hint="default"/>
          <w:lang w:val="es-MX"/>
        </w:rPr>
        <w:t>Comenzaron a ver consecuencias graves de contaminación ambiental y problemas de salud en la comunidad local, como enfermedades, anomalías en el ganado y daños a los cultivos.</w:t>
      </w:r>
    </w:p>
    <w:p>
      <w:pPr>
        <w:numPr>
          <w:ilvl w:val="0"/>
          <w:numId w:val="2"/>
        </w:numPr>
        <w:ind w:left="0" w:leftChars="0" w:firstLine="0" w:firstLineChars="0"/>
        <w:rPr>
          <w:rFonts w:hint="default"/>
          <w:b/>
          <w:bCs/>
          <w:lang w:val="es-MX"/>
        </w:rPr>
      </w:pPr>
      <w:r>
        <w:rPr>
          <w:rFonts w:hint="default"/>
          <w:b/>
          <w:bCs/>
          <w:lang w:val="es-MX"/>
        </w:rPr>
        <w:t>- ¿Nombre del abogado?</w:t>
      </w:r>
    </w:p>
    <w:p>
      <w:pPr>
        <w:bidi w:val="0"/>
        <w:jc w:val="center"/>
        <w:rPr>
          <w:rFonts w:hint="default"/>
          <w:lang w:val="es-MX"/>
        </w:rPr>
      </w:pPr>
      <w:r>
        <w:rPr>
          <w:rFonts w:hint="default"/>
          <w:lang w:val="es-MX"/>
        </w:rPr>
        <w:t>Robert Bilott.</w:t>
      </w:r>
    </w:p>
    <w:p>
      <w:pPr>
        <w:numPr>
          <w:ilvl w:val="0"/>
          <w:numId w:val="2"/>
        </w:numPr>
        <w:ind w:left="0" w:leftChars="0" w:firstLine="0" w:firstLineChars="0"/>
        <w:rPr>
          <w:rFonts w:hint="default"/>
          <w:b/>
          <w:bCs/>
          <w:lang w:val="es-MX"/>
        </w:rPr>
      </w:pPr>
      <w:r>
        <w:rPr>
          <w:rFonts w:hint="default"/>
          <w:b/>
          <w:bCs/>
          <w:lang w:val="es-MX"/>
        </w:rPr>
        <w:t>- ¿Nombre del granjero?</w:t>
      </w:r>
    </w:p>
    <w:p>
      <w:pPr>
        <w:bidi w:val="0"/>
        <w:jc w:val="center"/>
        <w:rPr>
          <w:rFonts w:hint="default"/>
          <w:lang w:val="es-MX"/>
        </w:rPr>
      </w:pPr>
      <w:r>
        <w:t>Wilbur Tennant.</w:t>
      </w:r>
    </w:p>
    <w:p>
      <w:pPr>
        <w:numPr>
          <w:ilvl w:val="0"/>
          <w:numId w:val="2"/>
        </w:numPr>
        <w:ind w:left="0" w:leftChars="0" w:firstLine="0" w:firstLineChars="0"/>
        <w:rPr>
          <w:rFonts w:hint="default"/>
          <w:b/>
          <w:bCs/>
          <w:lang w:val="es-MX"/>
        </w:rPr>
      </w:pPr>
      <w:r>
        <w:rPr>
          <w:rFonts w:hint="default"/>
          <w:b/>
          <w:bCs/>
          <w:lang w:val="es-MX"/>
        </w:rPr>
        <w:t>- ¿Cuál es el nombre cientifico del Teflón?</w:t>
      </w:r>
    </w:p>
    <w:p>
      <w:pPr>
        <w:bidi w:val="0"/>
        <w:jc w:val="center"/>
        <w:rPr>
          <w:rFonts w:hint="default"/>
          <w:lang w:val="es-MX"/>
        </w:rPr>
      </w:pPr>
      <w:r>
        <w:rPr>
          <w:rFonts w:hint="default"/>
          <w:lang w:val="es-MX"/>
        </w:rPr>
        <w:t>politetrafluoroetileno (PTFE). PFOA (C8). Ácido perfluorooctanoico.</w:t>
      </w:r>
    </w:p>
    <w:p>
      <w:pPr>
        <w:numPr>
          <w:ilvl w:val="0"/>
          <w:numId w:val="2"/>
        </w:numPr>
        <w:ind w:left="0" w:leftChars="0" w:firstLine="0" w:firstLineChars="0"/>
        <w:rPr>
          <w:rFonts w:hint="default"/>
          <w:b/>
          <w:bCs/>
          <w:lang w:val="es-MX"/>
        </w:rPr>
      </w:pPr>
      <w:r>
        <w:rPr>
          <w:rFonts w:hint="default"/>
          <w:b/>
          <w:bCs/>
          <w:lang w:val="es-MX"/>
        </w:rPr>
        <w:t>- ¿Qué investigaciones realizaron después de la demanda y para que realizaron campañas de análisis sanguíneos?</w:t>
      </w:r>
    </w:p>
    <w:p>
      <w:pPr>
        <w:bidi w:val="0"/>
        <w:jc w:val="left"/>
        <w:rPr>
          <w:rFonts w:hint="default"/>
          <w:lang w:val="es-MX"/>
        </w:rPr>
      </w:pPr>
      <w:r>
        <w:rPr>
          <w:rFonts w:hint="default"/>
          <w:lang w:val="es-MX"/>
        </w:rPr>
        <w:t>Después de la demanda, llevaron a cabo investigaciones que incluyeron análisis sanguíneos para evaluar los niveles de contaminación por PFOA (Ácido Perfluorooctanoico) en la sangre de los residentes locales.</w:t>
      </w:r>
    </w:p>
    <w:p>
      <w:pPr>
        <w:numPr>
          <w:ilvl w:val="0"/>
          <w:numId w:val="2"/>
        </w:numPr>
        <w:ind w:left="0" w:leftChars="0" w:firstLine="0" w:firstLineChars="0"/>
        <w:rPr>
          <w:rFonts w:hint="default"/>
          <w:b/>
          <w:bCs/>
          <w:lang w:val="es-MX"/>
        </w:rPr>
      </w:pPr>
      <w:r>
        <w:rPr>
          <w:rFonts w:hint="default"/>
          <w:b/>
          <w:bCs/>
          <w:lang w:val="es-MX"/>
        </w:rPr>
        <w:t>- ¿Cuánto pago DuPont al final de haber perdido la demanda?</w:t>
      </w:r>
    </w:p>
    <w:p>
      <w:pPr>
        <w:bidi w:val="0"/>
        <w:jc w:val="center"/>
        <w:rPr>
          <w:rFonts w:hint="default"/>
          <w:lang w:val="es-MX"/>
        </w:rPr>
      </w:pPr>
      <w:r>
        <w:rPr>
          <w:rFonts w:hint="default"/>
          <w:lang w:val="es-MX"/>
        </w:rPr>
        <w:t>aproximadamente 671 millones de dólares (670.7 Millones de dólares).</w:t>
      </w:r>
    </w:p>
    <w:p>
      <w:pPr>
        <w:numPr>
          <w:ilvl w:val="0"/>
          <w:numId w:val="2"/>
        </w:numPr>
        <w:ind w:left="0" w:leftChars="0" w:firstLine="0" w:firstLineChars="0"/>
        <w:rPr>
          <w:rFonts w:hint="default"/>
          <w:b/>
          <w:bCs/>
          <w:lang w:val="es-MX"/>
        </w:rPr>
      </w:pPr>
      <w:r>
        <w:rPr>
          <w:rFonts w:hint="default"/>
          <w:b/>
          <w:bCs/>
          <w:lang w:val="es-MX"/>
        </w:rPr>
        <w:t xml:space="preserve">- ¿Cuánto tiempo duro la demanda contra DuPont? </w:t>
      </w:r>
    </w:p>
    <w:p>
      <w:pPr>
        <w:bidi w:val="0"/>
        <w:jc w:val="center"/>
        <w:rPr>
          <w:rFonts w:hint="default"/>
          <w:lang w:val="es-MX"/>
        </w:rPr>
      </w:pPr>
      <w:r>
        <w:rPr>
          <w:rFonts w:hint="default"/>
          <w:lang w:val="es-MX"/>
        </w:rPr>
        <w:t>duró varios años, desde la década de 1990 hasta principios de la década de 2010, por lo que aproximadamente duró alrededor de dos décadas.</w:t>
      </w:r>
    </w:p>
    <w:p>
      <w:pPr>
        <w:rPr>
          <w:rFonts w:hint="default"/>
          <w:b/>
          <w:bCs/>
          <w:lang w:val="es-MX"/>
        </w:rPr>
      </w:pPr>
      <w:r>
        <w:rPr>
          <w:rFonts w:hint="default"/>
          <w:b/>
          <w:bCs/>
          <w:lang w:val="es-MX"/>
        </w:rPr>
        <w:t>10.- ¿Quién le recomendó el abogado Robert Bilott al granjero?</w:t>
      </w:r>
    </w:p>
    <w:p>
      <w:pPr>
        <w:bidi w:val="0"/>
        <w:jc w:val="left"/>
        <w:rPr>
          <w:rFonts w:hint="default"/>
          <w:lang w:val="es-MX"/>
        </w:rPr>
      </w:pPr>
      <w:r>
        <w:rPr>
          <w:rFonts w:hint="default"/>
          <w:lang w:val="es-MX"/>
        </w:rPr>
        <w:t>fue recomendado al granjero por la abuela de un amigo de la infancia de Bilott, Alma Holland White.</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
    <w:altName w:val="OCR A Extended"/>
    <w:panose1 w:val="00000000000000000000"/>
    <w:charset w:val="00"/>
    <w:family w:val="auto"/>
    <w:pitch w:val="default"/>
    <w:sig w:usb0="00000000" w:usb1="00000000" w:usb2="00000000" w:usb3="00000000" w:csb0="00000000" w:csb1="00000000"/>
  </w:font>
  <w:font w:name="OCR A Extended">
    <w:panose1 w:val="02010509020102010303"/>
    <w:charset w:val="00"/>
    <w:family w:val="auto"/>
    <w:pitch w:val="default"/>
    <w:sig w:usb0="00000003" w:usb1="00000000" w:usb2="00000000" w:usb3="00000000" w:csb0="20000001" w:csb1="00000000"/>
  </w:font>
  <w:font w:name="Agency FB">
    <w:panose1 w:val="020B0503020202020204"/>
    <w:charset w:val="00"/>
    <w:family w:val="auto"/>
    <w:pitch w:val="default"/>
    <w:sig w:usb0="00000003" w:usb1="00000000" w:usb2="00000000" w:usb3="00000000" w:csb0="20000001" w:csb1="00000000"/>
  </w:font>
  <w:font w:name="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
    <w:altName w:val="Segoe Print"/>
    <w:panose1 w:val="00000000000000000000"/>
    <w:charset w:val="00"/>
    <w:family w:val="auto"/>
    <w:pitch w:val="default"/>
    <w:sig w:usb0="00000000" w:usb1="00000000" w:usb2="00000000" w:usb3="00000000" w:csb0="00000000" w:csb1="00000000"/>
  </w:font>
  <w:font w:name="Aria">
    <w:altName w:val="Segoe Print"/>
    <w:panose1 w:val="00000000000000000000"/>
    <w:charset w:val="00"/>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lang w:val="es-MX"/>
      </w:rPr>
    </w:pPr>
    <w:r>
      <w:rPr>
        <w:rFonts w:hint="default"/>
        <w:sz w:val="26"/>
        <w:lang w:val="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Calibri" w:hAnsi="Calibri" w:cs="Calibri"/>
                              <w:sz w:val="20"/>
                              <w:szCs w:val="20"/>
                              <w:lang w:val="es-MX"/>
                            </w:rPr>
                          </w:pPr>
                          <w:r>
                            <w:rPr>
                              <w:rFonts w:hint="default" w:ascii="Calibri" w:hAnsi="Calibri" w:cs="Calibri"/>
                              <w:sz w:val="20"/>
                              <w:szCs w:val="20"/>
                            </w:rPr>
                            <w:fldChar w:fldCharType="begin"/>
                          </w:r>
                          <w:r>
                            <w:rPr>
                              <w:rFonts w:hint="default" w:ascii="Calibri" w:hAnsi="Calibri" w:cs="Calibri"/>
                              <w:sz w:val="20"/>
                              <w:szCs w:val="20"/>
                            </w:rPr>
                            <w:instrText xml:space="preserve"> PAGE  \* MERGEFORMAT </w:instrText>
                          </w:r>
                          <w:r>
                            <w:rPr>
                              <w:rFonts w:hint="default" w:ascii="Calibri" w:hAnsi="Calibri" w:cs="Calibri"/>
                              <w:sz w:val="20"/>
                              <w:szCs w:val="20"/>
                            </w:rPr>
                            <w:fldChar w:fldCharType="separate"/>
                          </w:r>
                          <w:r>
                            <w:rPr>
                              <w:rFonts w:hint="default" w:ascii="Calibri" w:hAnsi="Calibri" w:cs="Calibri"/>
                              <w:sz w:val="20"/>
                              <w:szCs w:val="20"/>
                            </w:rPr>
                            <w:t>1</w:t>
                          </w:r>
                          <w:r>
                            <w:rPr>
                              <w:rFonts w:hint="default" w:ascii="Calibri" w:hAnsi="Calibri" w:cs="Calibri"/>
                              <w:sz w:val="20"/>
                              <w:szCs w:val="20"/>
                            </w:rPr>
                            <w:fldChar w:fldCharType="end"/>
                          </w:r>
                          <w:r>
                            <w:rPr>
                              <w:rFonts w:hint="default" w:ascii="Calibri" w:hAnsi="Calibri" w:cs="Calibri"/>
                              <w:sz w:val="20"/>
                              <w:szCs w:val="20"/>
                              <w:lang w:val="es-MX"/>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ISe&#10;8dwnAgAAZwQAAA4AAAAAAAAAAQAgAAAAHwEAAGRycy9lMm9Eb2MueG1sUEsFBgAAAAAGAAYAWQEA&#10;ALgFAAAAAA==&#10;">
              <v:fill on="f" focussize="0,0"/>
              <v:stroke on="f" weight="0.5pt"/>
              <v:imagedata o:title=""/>
              <o:lock v:ext="edit" aspectratio="f"/>
              <v:textbox inset="0mm,0mm,0mm,0mm" style="mso-fit-shape-to-text:t;">
                <w:txbxContent>
                  <w:p>
                    <w:pPr>
                      <w:pStyle w:val="10"/>
                      <w:rPr>
                        <w:rFonts w:hint="default" w:ascii="Calibri" w:hAnsi="Calibri" w:cs="Calibri"/>
                        <w:sz w:val="20"/>
                        <w:szCs w:val="20"/>
                        <w:lang w:val="es-MX"/>
                      </w:rPr>
                    </w:pPr>
                    <w:r>
                      <w:rPr>
                        <w:rFonts w:hint="default" w:ascii="Calibri" w:hAnsi="Calibri" w:cs="Calibri"/>
                        <w:sz w:val="20"/>
                        <w:szCs w:val="20"/>
                      </w:rPr>
                      <w:fldChar w:fldCharType="begin"/>
                    </w:r>
                    <w:r>
                      <w:rPr>
                        <w:rFonts w:hint="default" w:ascii="Calibri" w:hAnsi="Calibri" w:cs="Calibri"/>
                        <w:sz w:val="20"/>
                        <w:szCs w:val="20"/>
                      </w:rPr>
                      <w:instrText xml:space="preserve"> PAGE  \* MERGEFORMAT </w:instrText>
                    </w:r>
                    <w:r>
                      <w:rPr>
                        <w:rFonts w:hint="default" w:ascii="Calibri" w:hAnsi="Calibri" w:cs="Calibri"/>
                        <w:sz w:val="20"/>
                        <w:szCs w:val="20"/>
                      </w:rPr>
                      <w:fldChar w:fldCharType="separate"/>
                    </w:r>
                    <w:r>
                      <w:rPr>
                        <w:rFonts w:hint="default" w:ascii="Calibri" w:hAnsi="Calibri" w:cs="Calibri"/>
                        <w:sz w:val="20"/>
                        <w:szCs w:val="20"/>
                      </w:rPr>
                      <w:t>1</w:t>
                    </w:r>
                    <w:r>
                      <w:rPr>
                        <w:rFonts w:hint="default" w:ascii="Calibri" w:hAnsi="Calibri" w:cs="Calibri"/>
                        <w:sz w:val="20"/>
                        <w:szCs w:val="20"/>
                      </w:rPr>
                      <w:fldChar w:fldCharType="end"/>
                    </w:r>
                    <w:r>
                      <w:rPr>
                        <w:rFonts w:hint="default" w:ascii="Calibri" w:hAnsi="Calibri" w:cs="Calibri"/>
                        <w:sz w:val="20"/>
                        <w:szCs w:val="20"/>
                        <w:lang w:val="es-MX"/>
                      </w:rPr>
                      <w:t xml:space="preserve"> </w:t>
                    </w:r>
                  </w:p>
                </w:txbxContent>
              </v:textbox>
            </v:shape>
          </w:pict>
        </mc:Fallback>
      </mc:AlternateContent>
    </w:r>
    <w:r>
      <w:rPr>
        <w:rFonts w:hint="default"/>
        <w:sz w:val="26"/>
        <w:lang w:val="es-MX"/>
      </w:rPr>
      <w:t xml:space="preserve">                                                                                </w:t>
    </w:r>
    <w:r>
      <w:rPr>
        <w:rFonts w:hint="default" w:ascii="Calibri" w:hAnsi="Calibri" w:cs="Calibri"/>
        <w:sz w:val="20"/>
        <w:szCs w:val="20"/>
        <w:lang w:val="es-MX"/>
      </w:rPr>
      <w:t xml:space="preserve">   LUNA GARCÍA     24/10/2023 </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28E68"/>
    <w:multiLevelType w:val="singleLevel"/>
    <w:tmpl w:val="DE028E68"/>
    <w:lvl w:ilvl="0" w:tentative="0">
      <w:start w:val="1"/>
      <w:numFmt w:val="decimal"/>
      <w:lvlText w:val="%1."/>
      <w:lvlJc w:val="left"/>
      <w:pPr>
        <w:tabs>
          <w:tab w:val="left" w:pos="425"/>
        </w:tabs>
        <w:ind w:left="425" w:leftChars="0" w:hanging="425" w:firstLineChars="0"/>
      </w:pPr>
      <w:rPr>
        <w:rFonts w:hint="default"/>
      </w:rPr>
    </w:lvl>
  </w:abstractNum>
  <w:abstractNum w:abstractNumId="1">
    <w:nsid w:val="220CD59B"/>
    <w:multiLevelType w:val="singleLevel"/>
    <w:tmpl w:val="220CD59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B518B"/>
    <w:rsid w:val="05302066"/>
    <w:rsid w:val="06583E23"/>
    <w:rsid w:val="0DDB518B"/>
    <w:rsid w:val="0F7A4A71"/>
    <w:rsid w:val="32B2363B"/>
    <w:rsid w:val="3FEF3F20"/>
    <w:rsid w:val="509B3500"/>
    <w:rsid w:val="7DA57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Arial" w:hAnsi="Arial" w:eastAsiaTheme="minorEastAsia" w:cstheme="minorBidi"/>
      <w:sz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unhideWhenUsed/>
    <w:qFormat/>
    <w:uiPriority w:val="0"/>
    <w:pPr>
      <w:spacing w:before="0" w:beforeAutospacing="1" w:after="0" w:afterAutospacing="1"/>
      <w:jc w:val="left"/>
      <w:outlineLvl w:val="1"/>
    </w:pPr>
    <w:rPr>
      <w:rFonts w:hint="default" w:ascii="Arial" w:hAnsi="Arial" w:eastAsia="SimSun" w:cs="SimSun"/>
      <w:b/>
      <w:bCs/>
      <w:i/>
      <w:iCs/>
      <w:kern w:val="0"/>
      <w:sz w:val="30"/>
      <w:szCs w:val="36"/>
      <w:lang w:val="en-US" w:eastAsia="zh-CN" w:bidi="ar"/>
    </w:rPr>
  </w:style>
  <w:style w:type="paragraph" w:styleId="4">
    <w:name w:val="heading 3"/>
    <w:next w:val="1"/>
    <w:unhideWhenUsed/>
    <w:qFormat/>
    <w:uiPriority w:val="0"/>
    <w:pPr>
      <w:spacing w:before="120" w:beforeAutospacing="1" w:after="120" w:afterAutospacing="1"/>
      <w:jc w:val="left"/>
      <w:outlineLvl w:val="2"/>
    </w:pPr>
    <w:rPr>
      <w:rFonts w:hint="default" w:ascii="Arial" w:hAnsi="Arial" w:eastAsia="SimSun" w:cs="SimSun"/>
      <w:b/>
      <w:bCs/>
      <w:kern w:val="0"/>
      <w:sz w:val="28"/>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toc 3"/>
    <w:basedOn w:val="1"/>
    <w:next w:val="1"/>
    <w:uiPriority w:val="0"/>
    <w:pPr>
      <w:ind w:left="840" w:leftChars="400"/>
    </w:pPr>
  </w:style>
  <w:style w:type="paragraph" w:styleId="9">
    <w:name w:val="toc 2"/>
    <w:basedOn w:val="1"/>
    <w:next w:val="1"/>
    <w:uiPriority w:val="0"/>
    <w:pPr>
      <w:ind w:left="420" w:leftChars="200"/>
    </w:pPr>
  </w:style>
  <w:style w:type="paragraph" w:styleId="10">
    <w:name w:val="header"/>
    <w:basedOn w:val="1"/>
    <w:uiPriority w:val="0"/>
    <w:pPr>
      <w:tabs>
        <w:tab w:val="center" w:pos="4153"/>
        <w:tab w:val="right" w:pos="8306"/>
      </w:tabs>
    </w:pPr>
  </w:style>
  <w:style w:type="paragraph" w:styleId="11">
    <w:name w:val="Normal (Web)"/>
    <w:uiPriority w:val="0"/>
    <w:pPr>
      <w:spacing w:before="0" w:beforeAutospacing="1" w:after="0" w:afterAutospacing="1"/>
      <w:ind w:left="0" w:right="0"/>
      <w:jc w:val="left"/>
    </w:pPr>
    <w:rPr>
      <w:kern w:val="0"/>
      <w:sz w:val="24"/>
      <w:szCs w:val="24"/>
      <w:lang w:val="en-US" w:eastAsia="zh-CN" w:bidi="ar"/>
    </w:rPr>
  </w:style>
  <w:style w:type="paragraph" w:styleId="12">
    <w:name w:val="footer"/>
    <w:basedOn w:val="1"/>
    <w:uiPriority w:val="0"/>
    <w:pPr>
      <w:tabs>
        <w:tab w:val="center" w:pos="4153"/>
        <w:tab w:val="right" w:pos="8306"/>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2023-10-23T20:47:00Z</dcterms:created>
  <dc:creator>argel</dc:creator>
  <cp:lastModifiedBy>argel</cp:lastModifiedBy>
  <dcterms:modified xsi:type="dcterms:W3CDTF">2023-10-23T21:41:19Z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2058-11.2.0.11225</vt:lpwstr>
  </property>
  <property fmtid="{D5CDD505-2E9C-101B-9397-08002B2CF9AE}" pid="3" name="ICV">
    <vt:lpwstr>6C1900452E7F4F70A9959C8ED21558D8</vt:lpwstr>
  </property>
</Properties>
</file>